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919D" w14:textId="77777777" w:rsidR="005D3181" w:rsidRPr="002E5315" w:rsidRDefault="00C86823" w:rsidP="005B2FB3">
      <w:pPr>
        <w:pStyle w:val="TekstNaslovnice"/>
        <w:pBdr>
          <w:bottom w:val="single" w:sz="18" w:space="1" w:color="auto"/>
        </w:pBdr>
        <w:spacing w:line="276" w:lineRule="auto"/>
        <w:rPr>
          <w:rFonts w:ascii="Gill Sans MT" w:hAnsi="Gill Sans MT" w:cs="Segoe UI"/>
          <w:sz w:val="32"/>
          <w:szCs w:val="32"/>
        </w:rPr>
      </w:pPr>
      <w:bookmarkStart w:id="0" w:name="_GoBack"/>
      <w:bookmarkEnd w:id="0"/>
      <w:r w:rsidRPr="002E5315">
        <w:rPr>
          <w:rFonts w:ascii="Gill Sans MT" w:hAnsi="Gill Sans MT" w:cs="Segoe UI"/>
          <w:sz w:val="32"/>
          <w:szCs w:val="32"/>
        </w:rPr>
        <w:t>Povjerenik za informiranje</w:t>
      </w:r>
    </w:p>
    <w:p w14:paraId="685BD719" w14:textId="77777777" w:rsidR="005D3181" w:rsidRPr="002E5315" w:rsidRDefault="005D3181" w:rsidP="005B2FB3">
      <w:pPr>
        <w:pStyle w:val="TekstNaslovnice"/>
        <w:pBdr>
          <w:bottom w:val="single" w:sz="18" w:space="1" w:color="auto"/>
        </w:pBdr>
        <w:spacing w:line="276" w:lineRule="auto"/>
        <w:jc w:val="both"/>
        <w:rPr>
          <w:rFonts w:ascii="Gill Sans MT" w:hAnsi="Gill Sans MT" w:cs="Segoe UI"/>
          <w:b w:val="0"/>
          <w:sz w:val="24"/>
          <w:szCs w:val="24"/>
        </w:rPr>
      </w:pPr>
    </w:p>
    <w:p w14:paraId="2657DA96" w14:textId="77777777" w:rsidR="005D3181" w:rsidRPr="002E5315" w:rsidRDefault="005D3181" w:rsidP="005B2FB3">
      <w:pPr>
        <w:rPr>
          <w:rFonts w:cs="Segoe UI"/>
        </w:rPr>
      </w:pPr>
    </w:p>
    <w:p w14:paraId="136973AD" w14:textId="77777777" w:rsidR="005D3181" w:rsidRPr="002E5315" w:rsidRDefault="005D3181" w:rsidP="005B2FB3">
      <w:pPr>
        <w:rPr>
          <w:rFonts w:cs="Segoe UI"/>
        </w:rPr>
      </w:pPr>
    </w:p>
    <w:p w14:paraId="4F877CC1" w14:textId="77777777" w:rsidR="005D3181" w:rsidRPr="002E5315" w:rsidRDefault="005D3181" w:rsidP="005B2FB3">
      <w:pPr>
        <w:rPr>
          <w:rFonts w:cs="Segoe UI"/>
        </w:rPr>
      </w:pPr>
    </w:p>
    <w:p w14:paraId="1BC9C7D7" w14:textId="77777777" w:rsidR="00C849D6" w:rsidRPr="002E5315" w:rsidRDefault="00C849D6" w:rsidP="005B2FB3">
      <w:pPr>
        <w:rPr>
          <w:rFonts w:cs="Segoe UI"/>
        </w:rPr>
      </w:pPr>
    </w:p>
    <w:p w14:paraId="270440C6" w14:textId="77777777" w:rsidR="00C849D6" w:rsidRPr="002E5315" w:rsidRDefault="00C849D6" w:rsidP="005B2FB3">
      <w:pPr>
        <w:rPr>
          <w:rFonts w:cs="Segoe UI"/>
        </w:rPr>
      </w:pPr>
    </w:p>
    <w:p w14:paraId="6935B236" w14:textId="77777777" w:rsidR="005D3181" w:rsidRPr="002E5315" w:rsidRDefault="005D3181" w:rsidP="005B2FB3">
      <w:pPr>
        <w:rPr>
          <w:rFonts w:cs="Segoe UI"/>
          <w:lang w:eastAsia="en-US"/>
        </w:rPr>
      </w:pPr>
    </w:p>
    <w:p w14:paraId="620481CD" w14:textId="77777777" w:rsidR="00260DCC" w:rsidRPr="002E5315" w:rsidRDefault="00260DCC" w:rsidP="005B2FB3">
      <w:pPr>
        <w:rPr>
          <w:rFonts w:cs="Segoe UI"/>
          <w:lang w:eastAsia="en-US"/>
        </w:rPr>
      </w:pPr>
    </w:p>
    <w:p w14:paraId="61F4803E" w14:textId="77777777" w:rsidR="00260DCC" w:rsidRPr="002E5315" w:rsidRDefault="00260DCC" w:rsidP="005B2FB3">
      <w:pPr>
        <w:rPr>
          <w:rFonts w:cs="Segoe UI"/>
          <w:lang w:eastAsia="en-US"/>
        </w:rPr>
      </w:pPr>
    </w:p>
    <w:p w14:paraId="7BE8C481" w14:textId="77777777" w:rsidR="00260DCC" w:rsidRPr="002E5315" w:rsidRDefault="00260DCC" w:rsidP="005B2FB3">
      <w:pPr>
        <w:rPr>
          <w:rFonts w:cs="Segoe UI"/>
          <w:lang w:eastAsia="en-US"/>
        </w:rPr>
      </w:pPr>
    </w:p>
    <w:p w14:paraId="2BC77DFA" w14:textId="77777777" w:rsidR="00260DCC" w:rsidRPr="002E5315" w:rsidRDefault="00260DCC" w:rsidP="005B2FB3">
      <w:pPr>
        <w:rPr>
          <w:rFonts w:cs="Segoe UI"/>
          <w:lang w:eastAsia="en-US"/>
        </w:rPr>
      </w:pPr>
    </w:p>
    <w:p w14:paraId="1F38B611" w14:textId="77777777" w:rsidR="00383563" w:rsidRPr="002E5315" w:rsidRDefault="00383563" w:rsidP="005B2FB3">
      <w:pPr>
        <w:rPr>
          <w:rFonts w:cs="Segoe UI"/>
          <w:lang w:eastAsia="en-US"/>
        </w:rPr>
      </w:pPr>
    </w:p>
    <w:p w14:paraId="5DAD6046" w14:textId="77777777" w:rsidR="001475CB" w:rsidRPr="002E5315" w:rsidRDefault="001475CB" w:rsidP="005B2FB3">
      <w:pPr>
        <w:rPr>
          <w:rFonts w:cs="Segoe UI"/>
          <w:lang w:eastAsia="en-US"/>
        </w:rPr>
      </w:pPr>
    </w:p>
    <w:p w14:paraId="5F533CD0" w14:textId="77777777" w:rsidR="005D3181" w:rsidRPr="002E5315" w:rsidRDefault="005D3181" w:rsidP="005B2FB3">
      <w:pPr>
        <w:rPr>
          <w:rFonts w:cs="Segoe UI"/>
          <w:lang w:eastAsia="en-US"/>
        </w:rPr>
      </w:pPr>
    </w:p>
    <w:p w14:paraId="1750DA2C" w14:textId="77777777" w:rsidR="005D3181" w:rsidRPr="002E5315" w:rsidRDefault="005D3181" w:rsidP="005B2FB3">
      <w:pPr>
        <w:rPr>
          <w:rFonts w:cs="Segoe UI"/>
          <w:lang w:eastAsia="en-US"/>
        </w:rPr>
      </w:pPr>
    </w:p>
    <w:p w14:paraId="13CE7EF6" w14:textId="77777777" w:rsidR="005D3181" w:rsidRPr="002E5315" w:rsidRDefault="005D3181" w:rsidP="005B2FB3">
      <w:pPr>
        <w:pStyle w:val="TekstNaslovnice"/>
        <w:spacing w:line="276" w:lineRule="auto"/>
        <w:rPr>
          <w:rFonts w:ascii="Gill Sans MT" w:hAnsi="Gill Sans MT" w:cs="Segoe UI"/>
          <w:sz w:val="32"/>
          <w:szCs w:val="32"/>
        </w:rPr>
      </w:pPr>
      <w:r w:rsidRPr="002E5315">
        <w:rPr>
          <w:rFonts w:ascii="Gill Sans MT" w:hAnsi="Gill Sans MT" w:cs="Segoe UI"/>
          <w:sz w:val="32"/>
          <w:szCs w:val="32"/>
        </w:rPr>
        <w:t>Izvješće o provedbi</w:t>
      </w:r>
    </w:p>
    <w:p w14:paraId="73E966F3" w14:textId="77777777" w:rsidR="005D3181" w:rsidRPr="002E5315" w:rsidRDefault="005D3181" w:rsidP="005B2FB3">
      <w:pPr>
        <w:pStyle w:val="TekstNaslovnice"/>
        <w:spacing w:line="276" w:lineRule="auto"/>
        <w:rPr>
          <w:rFonts w:ascii="Gill Sans MT" w:hAnsi="Gill Sans MT" w:cs="Segoe UI"/>
          <w:sz w:val="32"/>
          <w:szCs w:val="32"/>
        </w:rPr>
      </w:pPr>
    </w:p>
    <w:p w14:paraId="5C1F7256" w14:textId="77777777" w:rsidR="005D3181" w:rsidRPr="002E5315" w:rsidRDefault="005D3181" w:rsidP="005B2FB3">
      <w:pPr>
        <w:pStyle w:val="TekstNaslovnice"/>
        <w:spacing w:line="276" w:lineRule="auto"/>
        <w:rPr>
          <w:rFonts w:ascii="Gill Sans MT" w:hAnsi="Gill Sans MT" w:cs="Segoe UI"/>
          <w:sz w:val="32"/>
          <w:szCs w:val="32"/>
        </w:rPr>
      </w:pPr>
      <w:r w:rsidRPr="002E5315">
        <w:rPr>
          <w:rFonts w:ascii="Gill Sans MT" w:hAnsi="Gill Sans MT" w:cs="Segoe UI"/>
          <w:sz w:val="32"/>
          <w:szCs w:val="32"/>
        </w:rPr>
        <w:t>Zakona o pravu na pristup informacijama</w:t>
      </w:r>
    </w:p>
    <w:p w14:paraId="3D722309" w14:textId="77777777" w:rsidR="005D3181" w:rsidRPr="002E5315" w:rsidRDefault="005D3181" w:rsidP="005B2FB3">
      <w:pPr>
        <w:pStyle w:val="TekstNaslovnice"/>
        <w:spacing w:line="276" w:lineRule="auto"/>
        <w:rPr>
          <w:rFonts w:ascii="Gill Sans MT" w:hAnsi="Gill Sans MT" w:cs="Segoe UI"/>
          <w:sz w:val="32"/>
          <w:szCs w:val="32"/>
        </w:rPr>
      </w:pPr>
    </w:p>
    <w:p w14:paraId="5EB6E948" w14:textId="498EB3AC" w:rsidR="005D3181" w:rsidRPr="002E5315" w:rsidRDefault="005D3181" w:rsidP="005B2FB3">
      <w:pPr>
        <w:pStyle w:val="TekstNaslovnice"/>
        <w:spacing w:line="276" w:lineRule="auto"/>
        <w:rPr>
          <w:rFonts w:ascii="Gill Sans MT" w:hAnsi="Gill Sans MT" w:cs="Segoe UI"/>
          <w:sz w:val="32"/>
          <w:szCs w:val="32"/>
        </w:rPr>
      </w:pPr>
      <w:r w:rsidRPr="002E5315">
        <w:rPr>
          <w:rFonts w:ascii="Gill Sans MT" w:hAnsi="Gill Sans MT" w:cs="Segoe UI"/>
          <w:sz w:val="32"/>
          <w:szCs w:val="32"/>
        </w:rPr>
        <w:t>za 201</w:t>
      </w:r>
      <w:r w:rsidR="00E36F4D" w:rsidRPr="002E5315">
        <w:rPr>
          <w:rFonts w:ascii="Gill Sans MT" w:hAnsi="Gill Sans MT" w:cs="Segoe UI"/>
          <w:sz w:val="32"/>
          <w:szCs w:val="32"/>
        </w:rPr>
        <w:t>9</w:t>
      </w:r>
      <w:r w:rsidRPr="002E5315">
        <w:rPr>
          <w:rFonts w:ascii="Gill Sans MT" w:hAnsi="Gill Sans MT" w:cs="Segoe UI"/>
          <w:sz w:val="32"/>
          <w:szCs w:val="32"/>
        </w:rPr>
        <w:t>. godinu</w:t>
      </w:r>
    </w:p>
    <w:p w14:paraId="2A206745" w14:textId="77777777" w:rsidR="005D3181" w:rsidRPr="002E5315" w:rsidRDefault="005D3181" w:rsidP="005B2FB3">
      <w:pPr>
        <w:rPr>
          <w:rFonts w:cs="Segoe UI"/>
          <w:sz w:val="32"/>
          <w:szCs w:val="32"/>
          <w:lang w:eastAsia="en-US"/>
        </w:rPr>
      </w:pPr>
    </w:p>
    <w:p w14:paraId="38267C10" w14:textId="77777777" w:rsidR="005D3181" w:rsidRPr="002E5315" w:rsidRDefault="005D3181" w:rsidP="005B2FB3">
      <w:pPr>
        <w:rPr>
          <w:rFonts w:cs="Segoe UI"/>
          <w:sz w:val="32"/>
          <w:szCs w:val="32"/>
          <w:lang w:eastAsia="en-US"/>
        </w:rPr>
      </w:pPr>
    </w:p>
    <w:p w14:paraId="37723BEB" w14:textId="29AD6EA1" w:rsidR="005D3181" w:rsidRPr="002E5315" w:rsidRDefault="005D3181" w:rsidP="005B2FB3">
      <w:pPr>
        <w:rPr>
          <w:rFonts w:cs="Segoe UI"/>
          <w:lang w:eastAsia="en-US"/>
        </w:rPr>
      </w:pPr>
    </w:p>
    <w:p w14:paraId="34717280" w14:textId="77777777" w:rsidR="00416AED" w:rsidRPr="002E5315" w:rsidRDefault="00416AED" w:rsidP="005B2FB3">
      <w:pPr>
        <w:rPr>
          <w:rFonts w:cs="Segoe UI"/>
          <w:lang w:eastAsia="en-US"/>
        </w:rPr>
      </w:pPr>
    </w:p>
    <w:p w14:paraId="7F4260F4" w14:textId="77777777" w:rsidR="005D3181" w:rsidRPr="002E5315" w:rsidRDefault="005D3181" w:rsidP="005B2FB3">
      <w:pPr>
        <w:rPr>
          <w:rFonts w:cs="Segoe UI"/>
          <w:lang w:eastAsia="en-US"/>
        </w:rPr>
      </w:pPr>
    </w:p>
    <w:p w14:paraId="60C4AED4" w14:textId="77777777" w:rsidR="007B6207" w:rsidRPr="002E5315" w:rsidRDefault="007B6207" w:rsidP="005B2FB3">
      <w:pPr>
        <w:rPr>
          <w:rFonts w:cs="Segoe UI"/>
          <w:lang w:eastAsia="en-US"/>
        </w:rPr>
      </w:pPr>
    </w:p>
    <w:p w14:paraId="53DD6DA5" w14:textId="15193C03" w:rsidR="00A87535" w:rsidRPr="002E5315" w:rsidRDefault="00A87535" w:rsidP="005B2FB3">
      <w:pPr>
        <w:rPr>
          <w:rFonts w:cs="Segoe UI"/>
          <w:lang w:eastAsia="en-US"/>
        </w:rPr>
      </w:pPr>
    </w:p>
    <w:p w14:paraId="04200826" w14:textId="5BE5511A" w:rsidR="007B6207" w:rsidRPr="002E5315" w:rsidRDefault="007B6207" w:rsidP="005B2FB3">
      <w:pPr>
        <w:rPr>
          <w:rFonts w:cs="Segoe UI"/>
          <w:lang w:eastAsia="en-US"/>
        </w:rPr>
      </w:pPr>
    </w:p>
    <w:p w14:paraId="07652E3C" w14:textId="77777777" w:rsidR="007B6207" w:rsidRPr="002E5315" w:rsidRDefault="007B6207" w:rsidP="005B2FB3">
      <w:pPr>
        <w:rPr>
          <w:rFonts w:cs="Segoe UI"/>
          <w:lang w:eastAsia="en-US"/>
        </w:rPr>
      </w:pPr>
    </w:p>
    <w:p w14:paraId="70C43731" w14:textId="77777777" w:rsidR="00A87535" w:rsidRPr="002E5315" w:rsidRDefault="00A87535" w:rsidP="005B2FB3">
      <w:pPr>
        <w:rPr>
          <w:rFonts w:cs="Segoe UI"/>
          <w:lang w:eastAsia="en-US"/>
        </w:rPr>
      </w:pPr>
    </w:p>
    <w:p w14:paraId="3286545A" w14:textId="77777777" w:rsidR="00F144E1" w:rsidRPr="002E5315" w:rsidRDefault="00F144E1" w:rsidP="005B2FB3">
      <w:pPr>
        <w:rPr>
          <w:rFonts w:cs="Segoe UI"/>
          <w:lang w:eastAsia="en-US"/>
        </w:rPr>
      </w:pPr>
    </w:p>
    <w:p w14:paraId="665EDCC8" w14:textId="77777777" w:rsidR="005D3181" w:rsidRPr="002E5315" w:rsidRDefault="005D3181" w:rsidP="005B2FB3">
      <w:pPr>
        <w:pStyle w:val="TekstNaslovnice"/>
        <w:pBdr>
          <w:top w:val="single" w:sz="18" w:space="1" w:color="auto"/>
        </w:pBdr>
        <w:spacing w:line="276" w:lineRule="auto"/>
        <w:jc w:val="both"/>
        <w:rPr>
          <w:rFonts w:ascii="Gill Sans MT" w:hAnsi="Gill Sans MT" w:cs="Segoe UI"/>
          <w:b w:val="0"/>
          <w:bCs/>
          <w:sz w:val="24"/>
          <w:szCs w:val="24"/>
          <w:lang w:eastAsia="en-US"/>
        </w:rPr>
      </w:pPr>
    </w:p>
    <w:p w14:paraId="6048C78F" w14:textId="0CB8C92A" w:rsidR="003A0CEA" w:rsidRPr="002E5315" w:rsidRDefault="005D3181" w:rsidP="005B2FB3">
      <w:pPr>
        <w:pStyle w:val="TekstNaslovnice"/>
        <w:pBdr>
          <w:top w:val="single" w:sz="18" w:space="1" w:color="auto"/>
        </w:pBdr>
        <w:spacing w:line="276" w:lineRule="auto"/>
        <w:rPr>
          <w:rFonts w:ascii="Gill Sans MT" w:hAnsi="Gill Sans MT" w:cs="Segoe UI"/>
          <w:b w:val="0"/>
          <w:bCs/>
          <w:sz w:val="24"/>
          <w:szCs w:val="24"/>
          <w:lang w:eastAsia="en-US"/>
        </w:rPr>
      </w:pPr>
      <w:r w:rsidRPr="002E5315">
        <w:rPr>
          <w:rFonts w:ascii="Gill Sans MT" w:hAnsi="Gill Sans MT" w:cs="Segoe UI"/>
          <w:b w:val="0"/>
          <w:bCs/>
          <w:sz w:val="24"/>
          <w:szCs w:val="24"/>
          <w:lang w:eastAsia="en-US"/>
        </w:rPr>
        <w:t>Zagreb, ožuj</w:t>
      </w:r>
      <w:r w:rsidR="004E7EF2" w:rsidRPr="002E5315">
        <w:rPr>
          <w:rFonts w:ascii="Gill Sans MT" w:hAnsi="Gill Sans MT" w:cs="Segoe UI"/>
          <w:b w:val="0"/>
          <w:bCs/>
          <w:sz w:val="24"/>
          <w:szCs w:val="24"/>
          <w:lang w:eastAsia="en-US"/>
        </w:rPr>
        <w:t>ak</w:t>
      </w:r>
      <w:r w:rsidRPr="002E5315">
        <w:rPr>
          <w:rFonts w:ascii="Gill Sans MT" w:hAnsi="Gill Sans MT" w:cs="Segoe UI"/>
          <w:b w:val="0"/>
          <w:bCs/>
          <w:sz w:val="24"/>
          <w:szCs w:val="24"/>
          <w:lang w:eastAsia="en-US"/>
        </w:rPr>
        <w:t xml:space="preserve"> 20</w:t>
      </w:r>
      <w:r w:rsidR="00E36F4D" w:rsidRPr="002E5315">
        <w:rPr>
          <w:rFonts w:ascii="Gill Sans MT" w:hAnsi="Gill Sans MT" w:cs="Segoe UI"/>
          <w:b w:val="0"/>
          <w:bCs/>
          <w:sz w:val="24"/>
          <w:szCs w:val="24"/>
          <w:lang w:eastAsia="en-US"/>
        </w:rPr>
        <w:t>20</w:t>
      </w:r>
      <w:r w:rsidRPr="002E5315">
        <w:rPr>
          <w:rFonts w:ascii="Gill Sans MT" w:hAnsi="Gill Sans MT" w:cs="Segoe UI"/>
          <w:b w:val="0"/>
          <w:bCs/>
          <w:sz w:val="24"/>
          <w:szCs w:val="24"/>
          <w:lang w:eastAsia="en-US"/>
        </w:rPr>
        <w:t xml:space="preserve">. </w:t>
      </w:r>
      <w:r w:rsidR="00D01038" w:rsidRPr="002E5315">
        <w:rPr>
          <w:rFonts w:ascii="Gill Sans MT" w:hAnsi="Gill Sans MT" w:cs="Segoe UI"/>
          <w:b w:val="0"/>
          <w:bCs/>
          <w:sz w:val="24"/>
          <w:szCs w:val="24"/>
          <w:lang w:eastAsia="en-US"/>
        </w:rPr>
        <w:t>g</w:t>
      </w:r>
      <w:r w:rsidRPr="002E5315">
        <w:rPr>
          <w:rFonts w:ascii="Gill Sans MT" w:hAnsi="Gill Sans MT" w:cs="Segoe UI"/>
          <w:b w:val="0"/>
          <w:bCs/>
          <w:sz w:val="24"/>
          <w:szCs w:val="24"/>
          <w:lang w:eastAsia="en-US"/>
        </w:rPr>
        <w:t>odine</w:t>
      </w:r>
    </w:p>
    <w:p w14:paraId="631CB029" w14:textId="77777777" w:rsidR="00FB54D8" w:rsidRPr="002E5315" w:rsidRDefault="00FB54D8" w:rsidP="005B2FB3">
      <w:pPr>
        <w:rPr>
          <w:lang w:eastAsia="en-US"/>
        </w:rPr>
      </w:pPr>
    </w:p>
    <w:p w14:paraId="5E9EEE5B" w14:textId="77777777" w:rsidR="0040151D" w:rsidRPr="002E5315" w:rsidRDefault="0040151D" w:rsidP="005B2FB3">
      <w:pPr>
        <w:rPr>
          <w:lang w:eastAsia="en-US"/>
        </w:rPr>
        <w:sectPr w:rsidR="0040151D" w:rsidRPr="002E5315" w:rsidSect="007B6207">
          <w:pgSz w:w="11906" w:h="16838"/>
          <w:pgMar w:top="1135" w:right="1361" w:bottom="851" w:left="1361" w:header="709" w:footer="709" w:gutter="0"/>
          <w:pgNumType w:start="1"/>
          <w:cols w:space="708"/>
          <w:docGrid w:linePitch="360"/>
        </w:sectPr>
      </w:pPr>
    </w:p>
    <w:p w14:paraId="122B149E" w14:textId="2F2A9255" w:rsidR="001D77FC" w:rsidRPr="002E5315" w:rsidRDefault="00D13F59" w:rsidP="005B2FB3">
      <w:pPr>
        <w:rPr>
          <w:rFonts w:cs="Segoe UI"/>
          <w:b/>
          <w:sz w:val="28"/>
          <w:szCs w:val="28"/>
        </w:rPr>
      </w:pPr>
      <w:r w:rsidRPr="002E5315">
        <w:rPr>
          <w:rFonts w:cs="Segoe UI"/>
          <w:b/>
          <w:sz w:val="28"/>
          <w:szCs w:val="28"/>
        </w:rPr>
        <w:lastRenderedPageBreak/>
        <w:t>Sadržaj</w:t>
      </w:r>
    </w:p>
    <w:p w14:paraId="5E413442" w14:textId="77777777" w:rsidR="004B3959" w:rsidRPr="002E5315" w:rsidRDefault="004B3959" w:rsidP="005B2FB3">
      <w:pPr>
        <w:rPr>
          <w:rFonts w:cs="Segoe UI"/>
          <w:b/>
        </w:rPr>
      </w:pPr>
    </w:p>
    <w:p w14:paraId="52D82F87" w14:textId="69C50AEE" w:rsidR="00011407" w:rsidRDefault="002C2BCC">
      <w:pPr>
        <w:pStyle w:val="Sadraj1"/>
        <w:rPr>
          <w:rFonts w:asciiTheme="minorHAnsi" w:eastAsiaTheme="minorEastAsia" w:hAnsiTheme="minorHAnsi" w:cstheme="minorBidi"/>
          <w:b w:val="0"/>
          <w:sz w:val="22"/>
          <w:szCs w:val="22"/>
        </w:rPr>
      </w:pPr>
      <w:r w:rsidRPr="002E5315">
        <w:fldChar w:fldCharType="begin"/>
      </w:r>
      <w:r w:rsidR="00FF4511" w:rsidRPr="002E5315">
        <w:instrText xml:space="preserve"> TOC \o "1-4" \h \z \u </w:instrText>
      </w:r>
      <w:r w:rsidRPr="002E5315">
        <w:fldChar w:fldCharType="separate"/>
      </w:r>
      <w:hyperlink w:anchor="_Toc36308910" w:history="1">
        <w:r w:rsidR="00011407" w:rsidRPr="00585AB2">
          <w:rPr>
            <w:rStyle w:val="Hiperveza"/>
          </w:rPr>
          <w:t>1.</w:t>
        </w:r>
        <w:r w:rsidR="00011407">
          <w:rPr>
            <w:rFonts w:asciiTheme="minorHAnsi" w:eastAsiaTheme="minorEastAsia" w:hAnsiTheme="minorHAnsi" w:cstheme="minorBidi"/>
            <w:b w:val="0"/>
            <w:sz w:val="22"/>
            <w:szCs w:val="22"/>
          </w:rPr>
          <w:tab/>
        </w:r>
        <w:r w:rsidR="00011407" w:rsidRPr="00585AB2">
          <w:rPr>
            <w:rStyle w:val="Hiperveza"/>
          </w:rPr>
          <w:t>Uvod</w:t>
        </w:r>
        <w:r w:rsidR="00011407">
          <w:rPr>
            <w:webHidden/>
          </w:rPr>
          <w:tab/>
        </w:r>
        <w:r w:rsidR="00011407">
          <w:rPr>
            <w:webHidden/>
          </w:rPr>
          <w:fldChar w:fldCharType="begin"/>
        </w:r>
        <w:r w:rsidR="00011407">
          <w:rPr>
            <w:webHidden/>
          </w:rPr>
          <w:instrText xml:space="preserve"> PAGEREF _Toc36308910 \h </w:instrText>
        </w:r>
        <w:r w:rsidR="00011407">
          <w:rPr>
            <w:webHidden/>
          </w:rPr>
        </w:r>
        <w:r w:rsidR="00011407">
          <w:rPr>
            <w:webHidden/>
          </w:rPr>
          <w:fldChar w:fldCharType="separate"/>
        </w:r>
        <w:r w:rsidR="00262992">
          <w:rPr>
            <w:webHidden/>
          </w:rPr>
          <w:t>1</w:t>
        </w:r>
        <w:r w:rsidR="00011407">
          <w:rPr>
            <w:webHidden/>
          </w:rPr>
          <w:fldChar w:fldCharType="end"/>
        </w:r>
      </w:hyperlink>
    </w:p>
    <w:p w14:paraId="4AA423B0" w14:textId="0AD0FB86" w:rsidR="00011407" w:rsidRDefault="00C02639">
      <w:pPr>
        <w:pStyle w:val="Sadraj2"/>
        <w:rPr>
          <w:rFonts w:asciiTheme="minorHAnsi" w:eastAsiaTheme="minorEastAsia" w:hAnsiTheme="minorHAnsi" w:cstheme="minorBidi"/>
          <w:sz w:val="22"/>
          <w:szCs w:val="22"/>
        </w:rPr>
      </w:pPr>
      <w:hyperlink w:anchor="_Toc36308911" w:history="1">
        <w:r w:rsidR="00011407" w:rsidRPr="00585AB2">
          <w:rPr>
            <w:rStyle w:val="Hiperveza"/>
          </w:rPr>
          <w:t>1.1.</w:t>
        </w:r>
        <w:r w:rsidR="00011407">
          <w:rPr>
            <w:rFonts w:asciiTheme="minorHAnsi" w:eastAsiaTheme="minorEastAsia" w:hAnsiTheme="minorHAnsi" w:cstheme="minorBidi"/>
            <w:sz w:val="22"/>
            <w:szCs w:val="22"/>
          </w:rPr>
          <w:tab/>
        </w:r>
        <w:r w:rsidR="00011407" w:rsidRPr="00585AB2">
          <w:rPr>
            <w:rStyle w:val="Hiperveza"/>
          </w:rPr>
          <w:t>O pravu na pristup informacijama</w:t>
        </w:r>
        <w:r w:rsidR="00011407">
          <w:rPr>
            <w:webHidden/>
          </w:rPr>
          <w:tab/>
        </w:r>
        <w:r w:rsidR="00011407">
          <w:rPr>
            <w:webHidden/>
          </w:rPr>
          <w:fldChar w:fldCharType="begin"/>
        </w:r>
        <w:r w:rsidR="00011407">
          <w:rPr>
            <w:webHidden/>
          </w:rPr>
          <w:instrText xml:space="preserve"> PAGEREF _Toc36308911 \h </w:instrText>
        </w:r>
        <w:r w:rsidR="00011407">
          <w:rPr>
            <w:webHidden/>
          </w:rPr>
        </w:r>
        <w:r w:rsidR="00011407">
          <w:rPr>
            <w:webHidden/>
          </w:rPr>
          <w:fldChar w:fldCharType="separate"/>
        </w:r>
        <w:r w:rsidR="00262992">
          <w:rPr>
            <w:webHidden/>
          </w:rPr>
          <w:t>1</w:t>
        </w:r>
        <w:r w:rsidR="00011407">
          <w:rPr>
            <w:webHidden/>
          </w:rPr>
          <w:fldChar w:fldCharType="end"/>
        </w:r>
      </w:hyperlink>
    </w:p>
    <w:p w14:paraId="15F9E205" w14:textId="603209A6" w:rsidR="00011407" w:rsidRDefault="00C02639">
      <w:pPr>
        <w:pStyle w:val="Sadraj2"/>
        <w:rPr>
          <w:rFonts w:asciiTheme="minorHAnsi" w:eastAsiaTheme="minorEastAsia" w:hAnsiTheme="minorHAnsi" w:cstheme="minorBidi"/>
          <w:sz w:val="22"/>
          <w:szCs w:val="22"/>
        </w:rPr>
      </w:pPr>
      <w:hyperlink w:anchor="_Toc36308912" w:history="1">
        <w:r w:rsidR="00011407" w:rsidRPr="00585AB2">
          <w:rPr>
            <w:rStyle w:val="Hiperveza"/>
          </w:rPr>
          <w:t>1.2.</w:t>
        </w:r>
        <w:r w:rsidR="00011407">
          <w:rPr>
            <w:rFonts w:asciiTheme="minorHAnsi" w:eastAsiaTheme="minorEastAsia" w:hAnsiTheme="minorHAnsi" w:cstheme="minorBidi"/>
            <w:sz w:val="22"/>
            <w:szCs w:val="22"/>
          </w:rPr>
          <w:tab/>
        </w:r>
        <w:r w:rsidR="00011407" w:rsidRPr="00585AB2">
          <w:rPr>
            <w:rStyle w:val="Hiperveza"/>
          </w:rPr>
          <w:t>Primjena i provedba Zakona o pravu na pristup informacijama</w:t>
        </w:r>
        <w:r w:rsidR="00011407">
          <w:rPr>
            <w:webHidden/>
          </w:rPr>
          <w:tab/>
        </w:r>
        <w:r w:rsidR="00011407">
          <w:rPr>
            <w:webHidden/>
          </w:rPr>
          <w:fldChar w:fldCharType="begin"/>
        </w:r>
        <w:r w:rsidR="00011407">
          <w:rPr>
            <w:webHidden/>
          </w:rPr>
          <w:instrText xml:space="preserve"> PAGEREF _Toc36308912 \h </w:instrText>
        </w:r>
        <w:r w:rsidR="00011407">
          <w:rPr>
            <w:webHidden/>
          </w:rPr>
        </w:r>
        <w:r w:rsidR="00011407">
          <w:rPr>
            <w:webHidden/>
          </w:rPr>
          <w:fldChar w:fldCharType="separate"/>
        </w:r>
        <w:r w:rsidR="00262992">
          <w:rPr>
            <w:webHidden/>
          </w:rPr>
          <w:t>2</w:t>
        </w:r>
        <w:r w:rsidR="00011407">
          <w:rPr>
            <w:webHidden/>
          </w:rPr>
          <w:fldChar w:fldCharType="end"/>
        </w:r>
      </w:hyperlink>
    </w:p>
    <w:p w14:paraId="2E608D72" w14:textId="445611D1" w:rsidR="00011407" w:rsidRDefault="00C02639">
      <w:pPr>
        <w:pStyle w:val="Sadraj2"/>
        <w:rPr>
          <w:rFonts w:asciiTheme="minorHAnsi" w:eastAsiaTheme="minorEastAsia" w:hAnsiTheme="minorHAnsi" w:cstheme="minorBidi"/>
          <w:sz w:val="22"/>
          <w:szCs w:val="22"/>
        </w:rPr>
      </w:pPr>
      <w:hyperlink w:anchor="_Toc36308913" w:history="1">
        <w:r w:rsidR="00011407" w:rsidRPr="00585AB2">
          <w:rPr>
            <w:rStyle w:val="Hiperveza"/>
          </w:rPr>
          <w:t>1.3.</w:t>
        </w:r>
        <w:r w:rsidR="00011407">
          <w:rPr>
            <w:rFonts w:asciiTheme="minorHAnsi" w:eastAsiaTheme="minorEastAsia" w:hAnsiTheme="minorHAnsi" w:cstheme="minorBidi"/>
            <w:sz w:val="22"/>
            <w:szCs w:val="22"/>
          </w:rPr>
          <w:tab/>
        </w:r>
        <w:r w:rsidR="00011407" w:rsidRPr="00585AB2">
          <w:rPr>
            <w:rStyle w:val="Hiperveza"/>
          </w:rPr>
          <w:t>Godišnja izvješća o provedbi zakona</w:t>
        </w:r>
        <w:r w:rsidR="00011407">
          <w:rPr>
            <w:webHidden/>
          </w:rPr>
          <w:tab/>
        </w:r>
        <w:r w:rsidR="00011407">
          <w:rPr>
            <w:webHidden/>
          </w:rPr>
          <w:fldChar w:fldCharType="begin"/>
        </w:r>
        <w:r w:rsidR="00011407">
          <w:rPr>
            <w:webHidden/>
          </w:rPr>
          <w:instrText xml:space="preserve"> PAGEREF _Toc36308913 \h </w:instrText>
        </w:r>
        <w:r w:rsidR="00011407">
          <w:rPr>
            <w:webHidden/>
          </w:rPr>
        </w:r>
        <w:r w:rsidR="00011407">
          <w:rPr>
            <w:webHidden/>
          </w:rPr>
          <w:fldChar w:fldCharType="separate"/>
        </w:r>
        <w:r w:rsidR="00262992">
          <w:rPr>
            <w:webHidden/>
          </w:rPr>
          <w:t>3</w:t>
        </w:r>
        <w:r w:rsidR="00011407">
          <w:rPr>
            <w:webHidden/>
          </w:rPr>
          <w:fldChar w:fldCharType="end"/>
        </w:r>
      </w:hyperlink>
    </w:p>
    <w:p w14:paraId="491F07A9" w14:textId="670647E9" w:rsidR="00011407" w:rsidRDefault="00C02639">
      <w:pPr>
        <w:pStyle w:val="Sadraj1"/>
        <w:rPr>
          <w:rFonts w:asciiTheme="minorHAnsi" w:eastAsiaTheme="minorEastAsia" w:hAnsiTheme="minorHAnsi" w:cstheme="minorBidi"/>
          <w:b w:val="0"/>
          <w:sz w:val="22"/>
          <w:szCs w:val="22"/>
        </w:rPr>
      </w:pPr>
      <w:hyperlink w:anchor="_Toc36308914" w:history="1">
        <w:r w:rsidR="00011407" w:rsidRPr="00585AB2">
          <w:rPr>
            <w:rStyle w:val="Hiperveza"/>
          </w:rPr>
          <w:t>A) POSTUPANJE PO ZAHTJEVIMA KORISNIKA I ZAŠTITA PRAVA NA PRISTUP INFORMACIJAMA</w:t>
        </w:r>
        <w:r w:rsidR="00011407">
          <w:rPr>
            <w:webHidden/>
          </w:rPr>
          <w:tab/>
        </w:r>
        <w:r w:rsidR="00011407">
          <w:rPr>
            <w:webHidden/>
          </w:rPr>
          <w:fldChar w:fldCharType="begin"/>
        </w:r>
        <w:r w:rsidR="00011407">
          <w:rPr>
            <w:webHidden/>
          </w:rPr>
          <w:instrText xml:space="preserve"> PAGEREF _Toc36308914 \h </w:instrText>
        </w:r>
        <w:r w:rsidR="00011407">
          <w:rPr>
            <w:webHidden/>
          </w:rPr>
        </w:r>
        <w:r w:rsidR="00011407">
          <w:rPr>
            <w:webHidden/>
          </w:rPr>
          <w:fldChar w:fldCharType="separate"/>
        </w:r>
        <w:r w:rsidR="00262992">
          <w:rPr>
            <w:webHidden/>
          </w:rPr>
          <w:t>7</w:t>
        </w:r>
        <w:r w:rsidR="00011407">
          <w:rPr>
            <w:webHidden/>
          </w:rPr>
          <w:fldChar w:fldCharType="end"/>
        </w:r>
      </w:hyperlink>
    </w:p>
    <w:p w14:paraId="4675AF8B" w14:textId="1656E6C4" w:rsidR="00011407" w:rsidRDefault="00C02639">
      <w:pPr>
        <w:pStyle w:val="Sadraj1"/>
        <w:rPr>
          <w:rFonts w:asciiTheme="minorHAnsi" w:eastAsiaTheme="minorEastAsia" w:hAnsiTheme="minorHAnsi" w:cstheme="minorBidi"/>
          <w:b w:val="0"/>
          <w:sz w:val="22"/>
          <w:szCs w:val="22"/>
        </w:rPr>
      </w:pPr>
      <w:hyperlink w:anchor="_Toc36308915" w:history="1">
        <w:r w:rsidR="00011407" w:rsidRPr="00585AB2">
          <w:rPr>
            <w:rStyle w:val="Hiperveza"/>
          </w:rPr>
          <w:t>2.</w:t>
        </w:r>
        <w:r w:rsidR="00011407">
          <w:rPr>
            <w:rFonts w:asciiTheme="minorHAnsi" w:eastAsiaTheme="minorEastAsia" w:hAnsiTheme="minorHAnsi" w:cstheme="minorBidi"/>
            <w:b w:val="0"/>
            <w:sz w:val="22"/>
            <w:szCs w:val="22"/>
          </w:rPr>
          <w:tab/>
        </w:r>
        <w:r w:rsidR="00011407" w:rsidRPr="00585AB2">
          <w:rPr>
            <w:rStyle w:val="Hiperveza"/>
          </w:rPr>
          <w:t>Postupanje tijela javne vlasti po zahtjevima korisnika</w:t>
        </w:r>
        <w:r w:rsidR="00011407">
          <w:rPr>
            <w:webHidden/>
          </w:rPr>
          <w:tab/>
        </w:r>
        <w:r w:rsidR="00011407">
          <w:rPr>
            <w:webHidden/>
          </w:rPr>
          <w:fldChar w:fldCharType="begin"/>
        </w:r>
        <w:r w:rsidR="00011407">
          <w:rPr>
            <w:webHidden/>
          </w:rPr>
          <w:instrText xml:space="preserve"> PAGEREF _Toc36308915 \h </w:instrText>
        </w:r>
        <w:r w:rsidR="00011407">
          <w:rPr>
            <w:webHidden/>
          </w:rPr>
        </w:r>
        <w:r w:rsidR="00011407">
          <w:rPr>
            <w:webHidden/>
          </w:rPr>
          <w:fldChar w:fldCharType="separate"/>
        </w:r>
        <w:r w:rsidR="00262992">
          <w:rPr>
            <w:webHidden/>
          </w:rPr>
          <w:t>7</w:t>
        </w:r>
        <w:r w:rsidR="00011407">
          <w:rPr>
            <w:webHidden/>
          </w:rPr>
          <w:fldChar w:fldCharType="end"/>
        </w:r>
      </w:hyperlink>
    </w:p>
    <w:p w14:paraId="2BDC3679" w14:textId="07F558EA" w:rsidR="00011407" w:rsidRDefault="00C02639">
      <w:pPr>
        <w:pStyle w:val="Sadraj2"/>
        <w:rPr>
          <w:rFonts w:asciiTheme="minorHAnsi" w:eastAsiaTheme="minorEastAsia" w:hAnsiTheme="minorHAnsi" w:cstheme="minorBidi"/>
          <w:sz w:val="22"/>
          <w:szCs w:val="22"/>
        </w:rPr>
      </w:pPr>
      <w:hyperlink w:anchor="_Toc36308916" w:history="1">
        <w:r w:rsidR="00011407" w:rsidRPr="00585AB2">
          <w:rPr>
            <w:rStyle w:val="Hiperveza"/>
          </w:rPr>
          <w:t>2.1.</w:t>
        </w:r>
        <w:r w:rsidR="00011407">
          <w:rPr>
            <w:rFonts w:asciiTheme="minorHAnsi" w:eastAsiaTheme="minorEastAsia" w:hAnsiTheme="minorHAnsi" w:cstheme="minorBidi"/>
            <w:sz w:val="22"/>
            <w:szCs w:val="22"/>
          </w:rPr>
          <w:tab/>
        </w:r>
        <w:r w:rsidR="00011407" w:rsidRPr="00585AB2">
          <w:rPr>
            <w:rStyle w:val="Hiperveza"/>
          </w:rPr>
          <w:t>Zaprimljeni zahtjevi za pristup i ponovnu uporabu informacija</w:t>
        </w:r>
        <w:r w:rsidR="00011407">
          <w:rPr>
            <w:webHidden/>
          </w:rPr>
          <w:tab/>
        </w:r>
        <w:r w:rsidR="00011407">
          <w:rPr>
            <w:webHidden/>
          </w:rPr>
          <w:fldChar w:fldCharType="begin"/>
        </w:r>
        <w:r w:rsidR="00011407">
          <w:rPr>
            <w:webHidden/>
          </w:rPr>
          <w:instrText xml:space="preserve"> PAGEREF _Toc36308916 \h </w:instrText>
        </w:r>
        <w:r w:rsidR="00011407">
          <w:rPr>
            <w:webHidden/>
          </w:rPr>
        </w:r>
        <w:r w:rsidR="00011407">
          <w:rPr>
            <w:webHidden/>
          </w:rPr>
          <w:fldChar w:fldCharType="separate"/>
        </w:r>
        <w:r w:rsidR="00262992">
          <w:rPr>
            <w:webHidden/>
          </w:rPr>
          <w:t>7</w:t>
        </w:r>
        <w:r w:rsidR="00011407">
          <w:rPr>
            <w:webHidden/>
          </w:rPr>
          <w:fldChar w:fldCharType="end"/>
        </w:r>
      </w:hyperlink>
    </w:p>
    <w:p w14:paraId="3A2284AB" w14:textId="1ED7D3F1" w:rsidR="00011407" w:rsidRDefault="00C02639">
      <w:pPr>
        <w:pStyle w:val="Sadraj2"/>
        <w:rPr>
          <w:rFonts w:asciiTheme="minorHAnsi" w:eastAsiaTheme="minorEastAsia" w:hAnsiTheme="minorHAnsi" w:cstheme="minorBidi"/>
          <w:sz w:val="22"/>
          <w:szCs w:val="22"/>
        </w:rPr>
      </w:pPr>
      <w:hyperlink w:anchor="_Toc36308917" w:history="1">
        <w:r w:rsidR="00011407" w:rsidRPr="00585AB2">
          <w:rPr>
            <w:rStyle w:val="Hiperveza"/>
          </w:rPr>
          <w:t>2.2.</w:t>
        </w:r>
        <w:r w:rsidR="00011407">
          <w:rPr>
            <w:rFonts w:asciiTheme="minorHAnsi" w:eastAsiaTheme="minorEastAsia" w:hAnsiTheme="minorHAnsi" w:cstheme="minorBidi"/>
            <w:sz w:val="22"/>
            <w:szCs w:val="22"/>
          </w:rPr>
          <w:tab/>
        </w:r>
        <w:r w:rsidR="00011407" w:rsidRPr="00585AB2">
          <w:rPr>
            <w:rStyle w:val="Hiperveza"/>
          </w:rPr>
          <w:t>Rješavanje zahtjeva za pristup informacijama</w:t>
        </w:r>
        <w:r w:rsidR="00011407">
          <w:rPr>
            <w:webHidden/>
          </w:rPr>
          <w:tab/>
        </w:r>
        <w:r w:rsidR="00011407">
          <w:rPr>
            <w:webHidden/>
          </w:rPr>
          <w:fldChar w:fldCharType="begin"/>
        </w:r>
        <w:r w:rsidR="00011407">
          <w:rPr>
            <w:webHidden/>
          </w:rPr>
          <w:instrText xml:space="preserve"> PAGEREF _Toc36308917 \h </w:instrText>
        </w:r>
        <w:r w:rsidR="00011407">
          <w:rPr>
            <w:webHidden/>
          </w:rPr>
        </w:r>
        <w:r w:rsidR="00011407">
          <w:rPr>
            <w:webHidden/>
          </w:rPr>
          <w:fldChar w:fldCharType="separate"/>
        </w:r>
        <w:r w:rsidR="00262992">
          <w:rPr>
            <w:webHidden/>
          </w:rPr>
          <w:t>8</w:t>
        </w:r>
        <w:r w:rsidR="00011407">
          <w:rPr>
            <w:webHidden/>
          </w:rPr>
          <w:fldChar w:fldCharType="end"/>
        </w:r>
      </w:hyperlink>
    </w:p>
    <w:p w14:paraId="59485D40" w14:textId="38785A48" w:rsidR="00011407" w:rsidRDefault="00C02639">
      <w:pPr>
        <w:pStyle w:val="Sadraj2"/>
        <w:rPr>
          <w:rFonts w:asciiTheme="minorHAnsi" w:eastAsiaTheme="minorEastAsia" w:hAnsiTheme="minorHAnsi" w:cstheme="minorBidi"/>
          <w:sz w:val="22"/>
          <w:szCs w:val="22"/>
        </w:rPr>
      </w:pPr>
      <w:hyperlink w:anchor="_Toc36308918" w:history="1">
        <w:r w:rsidR="00011407" w:rsidRPr="00585AB2">
          <w:rPr>
            <w:rStyle w:val="Hiperveza"/>
          </w:rPr>
          <w:t>2.3.</w:t>
        </w:r>
        <w:r w:rsidR="00011407">
          <w:rPr>
            <w:rFonts w:asciiTheme="minorHAnsi" w:eastAsiaTheme="minorEastAsia" w:hAnsiTheme="minorHAnsi" w:cstheme="minorBidi"/>
            <w:sz w:val="22"/>
            <w:szCs w:val="22"/>
          </w:rPr>
          <w:tab/>
        </w:r>
        <w:r w:rsidR="00011407" w:rsidRPr="00585AB2">
          <w:rPr>
            <w:rStyle w:val="Hiperveza"/>
          </w:rPr>
          <w:t>Rješavanje zahtjeva za ponovnu uporabu informacija</w:t>
        </w:r>
        <w:r w:rsidR="00011407">
          <w:rPr>
            <w:webHidden/>
          </w:rPr>
          <w:tab/>
        </w:r>
        <w:r w:rsidR="00011407">
          <w:rPr>
            <w:webHidden/>
          </w:rPr>
          <w:fldChar w:fldCharType="begin"/>
        </w:r>
        <w:r w:rsidR="00011407">
          <w:rPr>
            <w:webHidden/>
          </w:rPr>
          <w:instrText xml:space="preserve"> PAGEREF _Toc36308918 \h </w:instrText>
        </w:r>
        <w:r w:rsidR="00011407">
          <w:rPr>
            <w:webHidden/>
          </w:rPr>
        </w:r>
        <w:r w:rsidR="00011407">
          <w:rPr>
            <w:webHidden/>
          </w:rPr>
          <w:fldChar w:fldCharType="separate"/>
        </w:r>
        <w:r w:rsidR="00262992">
          <w:rPr>
            <w:webHidden/>
          </w:rPr>
          <w:t>10</w:t>
        </w:r>
        <w:r w:rsidR="00011407">
          <w:rPr>
            <w:webHidden/>
          </w:rPr>
          <w:fldChar w:fldCharType="end"/>
        </w:r>
      </w:hyperlink>
    </w:p>
    <w:p w14:paraId="482E44E1" w14:textId="4AAFB789" w:rsidR="00011407" w:rsidRDefault="00C02639">
      <w:pPr>
        <w:pStyle w:val="Sadraj2"/>
        <w:rPr>
          <w:rFonts w:asciiTheme="minorHAnsi" w:eastAsiaTheme="minorEastAsia" w:hAnsiTheme="minorHAnsi" w:cstheme="minorBidi"/>
          <w:sz w:val="22"/>
          <w:szCs w:val="22"/>
        </w:rPr>
      </w:pPr>
      <w:hyperlink w:anchor="_Toc36308919" w:history="1">
        <w:r w:rsidR="00011407" w:rsidRPr="00585AB2">
          <w:rPr>
            <w:rStyle w:val="Hiperveza"/>
          </w:rPr>
          <w:t>2.4.</w:t>
        </w:r>
        <w:r w:rsidR="00011407">
          <w:rPr>
            <w:rFonts w:asciiTheme="minorHAnsi" w:eastAsiaTheme="minorEastAsia" w:hAnsiTheme="minorHAnsi" w:cstheme="minorBidi"/>
            <w:sz w:val="22"/>
            <w:szCs w:val="22"/>
          </w:rPr>
          <w:tab/>
        </w:r>
        <w:r w:rsidR="00011407" w:rsidRPr="00585AB2">
          <w:rPr>
            <w:rStyle w:val="Hiperveza"/>
          </w:rPr>
          <w:t>Troškovi pružanja informacija</w:t>
        </w:r>
        <w:r w:rsidR="00011407">
          <w:rPr>
            <w:webHidden/>
          </w:rPr>
          <w:tab/>
        </w:r>
        <w:r w:rsidR="00011407">
          <w:rPr>
            <w:webHidden/>
          </w:rPr>
          <w:fldChar w:fldCharType="begin"/>
        </w:r>
        <w:r w:rsidR="00011407">
          <w:rPr>
            <w:webHidden/>
          </w:rPr>
          <w:instrText xml:space="preserve"> PAGEREF _Toc36308919 \h </w:instrText>
        </w:r>
        <w:r w:rsidR="00011407">
          <w:rPr>
            <w:webHidden/>
          </w:rPr>
        </w:r>
        <w:r w:rsidR="00011407">
          <w:rPr>
            <w:webHidden/>
          </w:rPr>
          <w:fldChar w:fldCharType="separate"/>
        </w:r>
        <w:r w:rsidR="00262992">
          <w:rPr>
            <w:webHidden/>
          </w:rPr>
          <w:t>10</w:t>
        </w:r>
        <w:r w:rsidR="00011407">
          <w:rPr>
            <w:webHidden/>
          </w:rPr>
          <w:fldChar w:fldCharType="end"/>
        </w:r>
      </w:hyperlink>
    </w:p>
    <w:p w14:paraId="32154368" w14:textId="509CAB47" w:rsidR="00011407" w:rsidRDefault="00C02639">
      <w:pPr>
        <w:pStyle w:val="Sadraj1"/>
        <w:rPr>
          <w:rFonts w:asciiTheme="minorHAnsi" w:eastAsiaTheme="minorEastAsia" w:hAnsiTheme="minorHAnsi" w:cstheme="minorBidi"/>
          <w:b w:val="0"/>
          <w:sz w:val="22"/>
          <w:szCs w:val="22"/>
        </w:rPr>
      </w:pPr>
      <w:hyperlink w:anchor="_Toc36308920" w:history="1">
        <w:r w:rsidR="00011407" w:rsidRPr="00585AB2">
          <w:rPr>
            <w:rStyle w:val="Hiperveza"/>
          </w:rPr>
          <w:t>3.</w:t>
        </w:r>
        <w:r w:rsidR="00011407">
          <w:rPr>
            <w:rFonts w:asciiTheme="minorHAnsi" w:eastAsiaTheme="minorEastAsia" w:hAnsiTheme="minorHAnsi" w:cstheme="minorBidi"/>
            <w:b w:val="0"/>
            <w:sz w:val="22"/>
            <w:szCs w:val="22"/>
          </w:rPr>
          <w:tab/>
        </w:r>
        <w:r w:rsidR="00011407" w:rsidRPr="00585AB2">
          <w:rPr>
            <w:rStyle w:val="Hiperveza"/>
          </w:rPr>
          <w:t>Žalbeni postupak</w:t>
        </w:r>
        <w:r w:rsidR="00011407">
          <w:rPr>
            <w:webHidden/>
          </w:rPr>
          <w:tab/>
        </w:r>
        <w:r w:rsidR="00011407">
          <w:rPr>
            <w:webHidden/>
          </w:rPr>
          <w:fldChar w:fldCharType="begin"/>
        </w:r>
        <w:r w:rsidR="00011407">
          <w:rPr>
            <w:webHidden/>
          </w:rPr>
          <w:instrText xml:space="preserve"> PAGEREF _Toc36308920 \h </w:instrText>
        </w:r>
        <w:r w:rsidR="00011407">
          <w:rPr>
            <w:webHidden/>
          </w:rPr>
        </w:r>
        <w:r w:rsidR="00011407">
          <w:rPr>
            <w:webHidden/>
          </w:rPr>
          <w:fldChar w:fldCharType="separate"/>
        </w:r>
        <w:r w:rsidR="00262992">
          <w:rPr>
            <w:webHidden/>
          </w:rPr>
          <w:t>11</w:t>
        </w:r>
        <w:r w:rsidR="00011407">
          <w:rPr>
            <w:webHidden/>
          </w:rPr>
          <w:fldChar w:fldCharType="end"/>
        </w:r>
      </w:hyperlink>
    </w:p>
    <w:p w14:paraId="74C7B42F" w14:textId="77F0165E" w:rsidR="00011407" w:rsidRDefault="00C02639">
      <w:pPr>
        <w:pStyle w:val="Sadraj2"/>
        <w:rPr>
          <w:rFonts w:asciiTheme="minorHAnsi" w:eastAsiaTheme="minorEastAsia" w:hAnsiTheme="minorHAnsi" w:cstheme="minorBidi"/>
          <w:sz w:val="22"/>
          <w:szCs w:val="22"/>
        </w:rPr>
      </w:pPr>
      <w:hyperlink w:anchor="_Toc36308921" w:history="1">
        <w:r w:rsidR="00011407" w:rsidRPr="00585AB2">
          <w:rPr>
            <w:rStyle w:val="Hiperveza"/>
          </w:rPr>
          <w:t>3.1.</w:t>
        </w:r>
        <w:r w:rsidR="00011407">
          <w:rPr>
            <w:rFonts w:asciiTheme="minorHAnsi" w:eastAsiaTheme="minorEastAsia" w:hAnsiTheme="minorHAnsi" w:cstheme="minorBidi"/>
            <w:sz w:val="22"/>
            <w:szCs w:val="22"/>
          </w:rPr>
          <w:tab/>
        </w:r>
        <w:r w:rsidR="00011407" w:rsidRPr="00585AB2">
          <w:rPr>
            <w:rStyle w:val="Hiperveza"/>
          </w:rPr>
          <w:t>Broj i struktura žalbi</w:t>
        </w:r>
        <w:r w:rsidR="00011407">
          <w:rPr>
            <w:webHidden/>
          </w:rPr>
          <w:tab/>
        </w:r>
        <w:r w:rsidR="00011407">
          <w:rPr>
            <w:webHidden/>
          </w:rPr>
          <w:fldChar w:fldCharType="begin"/>
        </w:r>
        <w:r w:rsidR="00011407">
          <w:rPr>
            <w:webHidden/>
          </w:rPr>
          <w:instrText xml:space="preserve"> PAGEREF _Toc36308921 \h </w:instrText>
        </w:r>
        <w:r w:rsidR="00011407">
          <w:rPr>
            <w:webHidden/>
          </w:rPr>
        </w:r>
        <w:r w:rsidR="00011407">
          <w:rPr>
            <w:webHidden/>
          </w:rPr>
          <w:fldChar w:fldCharType="separate"/>
        </w:r>
        <w:r w:rsidR="00262992">
          <w:rPr>
            <w:webHidden/>
          </w:rPr>
          <w:t>11</w:t>
        </w:r>
        <w:r w:rsidR="00011407">
          <w:rPr>
            <w:webHidden/>
          </w:rPr>
          <w:fldChar w:fldCharType="end"/>
        </w:r>
      </w:hyperlink>
    </w:p>
    <w:p w14:paraId="2C587340" w14:textId="4DE09EDB" w:rsidR="00011407" w:rsidRDefault="00C02639">
      <w:pPr>
        <w:pStyle w:val="Sadraj3"/>
        <w:tabs>
          <w:tab w:val="left" w:pos="1757"/>
        </w:tabs>
        <w:rPr>
          <w:rFonts w:asciiTheme="minorHAnsi" w:eastAsiaTheme="minorEastAsia" w:hAnsiTheme="minorHAnsi" w:cstheme="minorBidi"/>
          <w:sz w:val="22"/>
          <w:szCs w:val="22"/>
        </w:rPr>
      </w:pPr>
      <w:hyperlink w:anchor="_Toc36308922" w:history="1">
        <w:r w:rsidR="00011407" w:rsidRPr="00585AB2">
          <w:rPr>
            <w:rStyle w:val="Hiperveza"/>
          </w:rPr>
          <w:t>3.1.1.</w:t>
        </w:r>
        <w:r w:rsidR="00011407">
          <w:rPr>
            <w:rFonts w:asciiTheme="minorHAnsi" w:eastAsiaTheme="minorEastAsia" w:hAnsiTheme="minorHAnsi" w:cstheme="minorBidi"/>
            <w:sz w:val="22"/>
            <w:szCs w:val="22"/>
          </w:rPr>
          <w:tab/>
        </w:r>
        <w:r w:rsidR="00011407" w:rsidRPr="00585AB2">
          <w:rPr>
            <w:rStyle w:val="Hiperveza"/>
          </w:rPr>
          <w:t>Broj žalbi</w:t>
        </w:r>
        <w:r w:rsidR="00011407">
          <w:rPr>
            <w:webHidden/>
          </w:rPr>
          <w:tab/>
        </w:r>
        <w:r w:rsidR="00011407">
          <w:rPr>
            <w:webHidden/>
          </w:rPr>
          <w:fldChar w:fldCharType="begin"/>
        </w:r>
        <w:r w:rsidR="00011407">
          <w:rPr>
            <w:webHidden/>
          </w:rPr>
          <w:instrText xml:space="preserve"> PAGEREF _Toc36308922 \h </w:instrText>
        </w:r>
        <w:r w:rsidR="00011407">
          <w:rPr>
            <w:webHidden/>
          </w:rPr>
        </w:r>
        <w:r w:rsidR="00011407">
          <w:rPr>
            <w:webHidden/>
          </w:rPr>
          <w:fldChar w:fldCharType="separate"/>
        </w:r>
        <w:r w:rsidR="00262992">
          <w:rPr>
            <w:webHidden/>
          </w:rPr>
          <w:t>11</w:t>
        </w:r>
        <w:r w:rsidR="00011407">
          <w:rPr>
            <w:webHidden/>
          </w:rPr>
          <w:fldChar w:fldCharType="end"/>
        </w:r>
      </w:hyperlink>
    </w:p>
    <w:p w14:paraId="584A219C" w14:textId="20DD47C9" w:rsidR="00011407" w:rsidRDefault="00C02639">
      <w:pPr>
        <w:pStyle w:val="Sadraj3"/>
        <w:tabs>
          <w:tab w:val="left" w:pos="1757"/>
        </w:tabs>
        <w:rPr>
          <w:rFonts w:asciiTheme="minorHAnsi" w:eastAsiaTheme="minorEastAsia" w:hAnsiTheme="minorHAnsi" w:cstheme="minorBidi"/>
          <w:sz w:val="22"/>
          <w:szCs w:val="22"/>
        </w:rPr>
      </w:pPr>
      <w:hyperlink w:anchor="_Toc36308923" w:history="1">
        <w:r w:rsidR="00011407" w:rsidRPr="00585AB2">
          <w:rPr>
            <w:rStyle w:val="Hiperveza"/>
          </w:rPr>
          <w:t>3.1.2.</w:t>
        </w:r>
        <w:r w:rsidR="00011407">
          <w:rPr>
            <w:rFonts w:asciiTheme="minorHAnsi" w:eastAsiaTheme="minorEastAsia" w:hAnsiTheme="minorHAnsi" w:cstheme="minorBidi"/>
            <w:sz w:val="22"/>
            <w:szCs w:val="22"/>
          </w:rPr>
          <w:tab/>
        </w:r>
        <w:r w:rsidR="00011407" w:rsidRPr="00585AB2">
          <w:rPr>
            <w:rStyle w:val="Hiperveza"/>
          </w:rPr>
          <w:t>Podnositelji žalbi</w:t>
        </w:r>
        <w:r w:rsidR="00011407">
          <w:rPr>
            <w:webHidden/>
          </w:rPr>
          <w:tab/>
        </w:r>
        <w:r w:rsidR="00011407">
          <w:rPr>
            <w:webHidden/>
          </w:rPr>
          <w:fldChar w:fldCharType="begin"/>
        </w:r>
        <w:r w:rsidR="00011407">
          <w:rPr>
            <w:webHidden/>
          </w:rPr>
          <w:instrText xml:space="preserve"> PAGEREF _Toc36308923 \h </w:instrText>
        </w:r>
        <w:r w:rsidR="00011407">
          <w:rPr>
            <w:webHidden/>
          </w:rPr>
        </w:r>
        <w:r w:rsidR="00011407">
          <w:rPr>
            <w:webHidden/>
          </w:rPr>
          <w:fldChar w:fldCharType="separate"/>
        </w:r>
        <w:r w:rsidR="00262992">
          <w:rPr>
            <w:webHidden/>
          </w:rPr>
          <w:t>13</w:t>
        </w:r>
        <w:r w:rsidR="00011407">
          <w:rPr>
            <w:webHidden/>
          </w:rPr>
          <w:fldChar w:fldCharType="end"/>
        </w:r>
      </w:hyperlink>
    </w:p>
    <w:p w14:paraId="2EF842D4" w14:textId="7B9FA4AC" w:rsidR="00011407" w:rsidRDefault="00C02639">
      <w:pPr>
        <w:pStyle w:val="Sadraj3"/>
        <w:tabs>
          <w:tab w:val="left" w:pos="1757"/>
        </w:tabs>
        <w:rPr>
          <w:rFonts w:asciiTheme="minorHAnsi" w:eastAsiaTheme="minorEastAsia" w:hAnsiTheme="minorHAnsi" w:cstheme="minorBidi"/>
          <w:sz w:val="22"/>
          <w:szCs w:val="22"/>
        </w:rPr>
      </w:pPr>
      <w:hyperlink w:anchor="_Toc36308924" w:history="1">
        <w:r w:rsidR="00011407" w:rsidRPr="00585AB2">
          <w:rPr>
            <w:rStyle w:val="Hiperveza"/>
          </w:rPr>
          <w:t>3.1.3.</w:t>
        </w:r>
        <w:r w:rsidR="00011407">
          <w:rPr>
            <w:rFonts w:asciiTheme="minorHAnsi" w:eastAsiaTheme="minorEastAsia" w:hAnsiTheme="minorHAnsi" w:cstheme="minorBidi"/>
            <w:sz w:val="22"/>
            <w:szCs w:val="22"/>
          </w:rPr>
          <w:tab/>
        </w:r>
        <w:r w:rsidR="00011407" w:rsidRPr="00585AB2">
          <w:rPr>
            <w:rStyle w:val="Hiperveza"/>
          </w:rPr>
          <w:t>Razvrstavanje žalbi prema tijelima javne vlasti</w:t>
        </w:r>
        <w:r w:rsidR="00011407">
          <w:rPr>
            <w:webHidden/>
          </w:rPr>
          <w:tab/>
        </w:r>
        <w:r w:rsidR="00011407">
          <w:rPr>
            <w:webHidden/>
          </w:rPr>
          <w:fldChar w:fldCharType="begin"/>
        </w:r>
        <w:r w:rsidR="00011407">
          <w:rPr>
            <w:webHidden/>
          </w:rPr>
          <w:instrText xml:space="preserve"> PAGEREF _Toc36308924 \h </w:instrText>
        </w:r>
        <w:r w:rsidR="00011407">
          <w:rPr>
            <w:webHidden/>
          </w:rPr>
        </w:r>
        <w:r w:rsidR="00011407">
          <w:rPr>
            <w:webHidden/>
          </w:rPr>
          <w:fldChar w:fldCharType="separate"/>
        </w:r>
        <w:r w:rsidR="00262992">
          <w:rPr>
            <w:webHidden/>
          </w:rPr>
          <w:t>14</w:t>
        </w:r>
        <w:r w:rsidR="00011407">
          <w:rPr>
            <w:webHidden/>
          </w:rPr>
          <w:fldChar w:fldCharType="end"/>
        </w:r>
      </w:hyperlink>
    </w:p>
    <w:p w14:paraId="05287ABD" w14:textId="01D0867B" w:rsidR="00011407" w:rsidRDefault="00C02639">
      <w:pPr>
        <w:pStyle w:val="Sadraj2"/>
        <w:rPr>
          <w:rFonts w:asciiTheme="minorHAnsi" w:eastAsiaTheme="minorEastAsia" w:hAnsiTheme="minorHAnsi" w:cstheme="minorBidi"/>
          <w:sz w:val="22"/>
          <w:szCs w:val="22"/>
        </w:rPr>
      </w:pPr>
      <w:hyperlink w:anchor="_Toc36308925" w:history="1">
        <w:r w:rsidR="00011407" w:rsidRPr="00585AB2">
          <w:rPr>
            <w:rStyle w:val="Hiperveza"/>
          </w:rPr>
          <w:t>3.2.</w:t>
        </w:r>
        <w:r w:rsidR="00011407">
          <w:rPr>
            <w:rFonts w:asciiTheme="minorHAnsi" w:eastAsiaTheme="minorEastAsia" w:hAnsiTheme="minorHAnsi" w:cstheme="minorBidi"/>
            <w:sz w:val="22"/>
            <w:szCs w:val="22"/>
          </w:rPr>
          <w:tab/>
        </w:r>
        <w:r w:rsidR="00011407" w:rsidRPr="00585AB2">
          <w:rPr>
            <w:rStyle w:val="Hiperveza"/>
          </w:rPr>
          <w:t>Razlozi za odbijanje zahtjeva kao osnova žalbenog postupka</w:t>
        </w:r>
        <w:r w:rsidR="00011407">
          <w:rPr>
            <w:webHidden/>
          </w:rPr>
          <w:tab/>
        </w:r>
        <w:r w:rsidR="00011407">
          <w:rPr>
            <w:webHidden/>
          </w:rPr>
          <w:fldChar w:fldCharType="begin"/>
        </w:r>
        <w:r w:rsidR="00011407">
          <w:rPr>
            <w:webHidden/>
          </w:rPr>
          <w:instrText xml:space="preserve"> PAGEREF _Toc36308925 \h </w:instrText>
        </w:r>
        <w:r w:rsidR="00011407">
          <w:rPr>
            <w:webHidden/>
          </w:rPr>
        </w:r>
        <w:r w:rsidR="00011407">
          <w:rPr>
            <w:webHidden/>
          </w:rPr>
          <w:fldChar w:fldCharType="separate"/>
        </w:r>
        <w:r w:rsidR="00262992">
          <w:rPr>
            <w:webHidden/>
          </w:rPr>
          <w:t>15</w:t>
        </w:r>
        <w:r w:rsidR="00011407">
          <w:rPr>
            <w:webHidden/>
          </w:rPr>
          <w:fldChar w:fldCharType="end"/>
        </w:r>
      </w:hyperlink>
    </w:p>
    <w:p w14:paraId="7CF94F37" w14:textId="6BD3C090" w:rsidR="00011407" w:rsidRDefault="00C02639">
      <w:pPr>
        <w:pStyle w:val="Sadraj2"/>
        <w:rPr>
          <w:rFonts w:asciiTheme="minorHAnsi" w:eastAsiaTheme="minorEastAsia" w:hAnsiTheme="minorHAnsi" w:cstheme="minorBidi"/>
          <w:sz w:val="22"/>
          <w:szCs w:val="22"/>
        </w:rPr>
      </w:pPr>
      <w:hyperlink w:anchor="_Toc36308926" w:history="1">
        <w:r w:rsidR="00011407" w:rsidRPr="00585AB2">
          <w:rPr>
            <w:rStyle w:val="Hiperveza"/>
          </w:rPr>
          <w:t>3.3.</w:t>
        </w:r>
        <w:r w:rsidR="00011407">
          <w:rPr>
            <w:rFonts w:asciiTheme="minorHAnsi" w:eastAsiaTheme="minorEastAsia" w:hAnsiTheme="minorHAnsi" w:cstheme="minorBidi"/>
            <w:sz w:val="22"/>
            <w:szCs w:val="22"/>
          </w:rPr>
          <w:tab/>
        </w:r>
        <w:r w:rsidR="00011407" w:rsidRPr="00585AB2">
          <w:rPr>
            <w:rStyle w:val="Hiperveza"/>
          </w:rPr>
          <w:t>Rješavanje žalbi</w:t>
        </w:r>
        <w:r w:rsidR="00011407">
          <w:rPr>
            <w:webHidden/>
          </w:rPr>
          <w:tab/>
        </w:r>
        <w:r w:rsidR="00011407">
          <w:rPr>
            <w:webHidden/>
          </w:rPr>
          <w:fldChar w:fldCharType="begin"/>
        </w:r>
        <w:r w:rsidR="00011407">
          <w:rPr>
            <w:webHidden/>
          </w:rPr>
          <w:instrText xml:space="preserve"> PAGEREF _Toc36308926 \h </w:instrText>
        </w:r>
        <w:r w:rsidR="00011407">
          <w:rPr>
            <w:webHidden/>
          </w:rPr>
        </w:r>
        <w:r w:rsidR="00011407">
          <w:rPr>
            <w:webHidden/>
          </w:rPr>
          <w:fldChar w:fldCharType="separate"/>
        </w:r>
        <w:r w:rsidR="00262992">
          <w:rPr>
            <w:webHidden/>
          </w:rPr>
          <w:t>16</w:t>
        </w:r>
        <w:r w:rsidR="00011407">
          <w:rPr>
            <w:webHidden/>
          </w:rPr>
          <w:fldChar w:fldCharType="end"/>
        </w:r>
      </w:hyperlink>
    </w:p>
    <w:p w14:paraId="0360F7C8" w14:textId="51F2D404" w:rsidR="00011407" w:rsidRDefault="00C02639">
      <w:pPr>
        <w:pStyle w:val="Sadraj2"/>
        <w:rPr>
          <w:rFonts w:asciiTheme="minorHAnsi" w:eastAsiaTheme="minorEastAsia" w:hAnsiTheme="minorHAnsi" w:cstheme="minorBidi"/>
          <w:sz w:val="22"/>
          <w:szCs w:val="22"/>
        </w:rPr>
      </w:pPr>
      <w:hyperlink w:anchor="_Toc36308927" w:history="1">
        <w:r w:rsidR="00011407" w:rsidRPr="00585AB2">
          <w:rPr>
            <w:rStyle w:val="Hiperveza"/>
          </w:rPr>
          <w:t>3.4.</w:t>
        </w:r>
        <w:r w:rsidR="00011407">
          <w:rPr>
            <w:rFonts w:asciiTheme="minorHAnsi" w:eastAsiaTheme="minorEastAsia" w:hAnsiTheme="minorHAnsi" w:cstheme="minorBidi"/>
            <w:sz w:val="22"/>
            <w:szCs w:val="22"/>
          </w:rPr>
          <w:tab/>
        </w:r>
        <w:r w:rsidR="00011407" w:rsidRPr="00585AB2">
          <w:rPr>
            <w:rStyle w:val="Hiperveza"/>
          </w:rPr>
          <w:t>Odluke o žalbama prema ishodu postupka</w:t>
        </w:r>
        <w:r w:rsidR="00011407">
          <w:rPr>
            <w:webHidden/>
          </w:rPr>
          <w:tab/>
        </w:r>
        <w:r w:rsidR="00011407">
          <w:rPr>
            <w:webHidden/>
          </w:rPr>
          <w:fldChar w:fldCharType="begin"/>
        </w:r>
        <w:r w:rsidR="00011407">
          <w:rPr>
            <w:webHidden/>
          </w:rPr>
          <w:instrText xml:space="preserve"> PAGEREF _Toc36308927 \h </w:instrText>
        </w:r>
        <w:r w:rsidR="00011407">
          <w:rPr>
            <w:webHidden/>
          </w:rPr>
        </w:r>
        <w:r w:rsidR="00011407">
          <w:rPr>
            <w:webHidden/>
          </w:rPr>
          <w:fldChar w:fldCharType="separate"/>
        </w:r>
        <w:r w:rsidR="00262992">
          <w:rPr>
            <w:webHidden/>
          </w:rPr>
          <w:t>17</w:t>
        </w:r>
        <w:r w:rsidR="00011407">
          <w:rPr>
            <w:webHidden/>
          </w:rPr>
          <w:fldChar w:fldCharType="end"/>
        </w:r>
      </w:hyperlink>
    </w:p>
    <w:p w14:paraId="3A0E5E71" w14:textId="39DFD6E8" w:rsidR="00011407" w:rsidRDefault="00C02639">
      <w:pPr>
        <w:pStyle w:val="Sadraj2"/>
        <w:rPr>
          <w:rFonts w:asciiTheme="minorHAnsi" w:eastAsiaTheme="minorEastAsia" w:hAnsiTheme="minorHAnsi" w:cstheme="minorBidi"/>
          <w:sz w:val="22"/>
          <w:szCs w:val="22"/>
        </w:rPr>
      </w:pPr>
      <w:hyperlink w:anchor="_Toc36308928" w:history="1">
        <w:r w:rsidR="00011407" w:rsidRPr="00585AB2">
          <w:rPr>
            <w:rStyle w:val="Hiperveza"/>
          </w:rPr>
          <w:t>3.5.</w:t>
        </w:r>
        <w:r w:rsidR="00011407">
          <w:rPr>
            <w:rFonts w:asciiTheme="minorHAnsi" w:eastAsiaTheme="minorEastAsia" w:hAnsiTheme="minorHAnsi" w:cstheme="minorBidi"/>
            <w:sz w:val="22"/>
            <w:szCs w:val="22"/>
          </w:rPr>
          <w:tab/>
        </w:r>
        <w:r w:rsidR="00011407" w:rsidRPr="00585AB2">
          <w:rPr>
            <w:rStyle w:val="Hiperveza"/>
          </w:rPr>
          <w:t>Odluke o žalbama po kategorijama tijela javne vlasti</w:t>
        </w:r>
        <w:r w:rsidR="00011407">
          <w:rPr>
            <w:webHidden/>
          </w:rPr>
          <w:tab/>
        </w:r>
        <w:r w:rsidR="00011407">
          <w:rPr>
            <w:webHidden/>
          </w:rPr>
          <w:fldChar w:fldCharType="begin"/>
        </w:r>
        <w:r w:rsidR="00011407">
          <w:rPr>
            <w:webHidden/>
          </w:rPr>
          <w:instrText xml:space="preserve"> PAGEREF _Toc36308928 \h </w:instrText>
        </w:r>
        <w:r w:rsidR="00011407">
          <w:rPr>
            <w:webHidden/>
          </w:rPr>
        </w:r>
        <w:r w:rsidR="00011407">
          <w:rPr>
            <w:webHidden/>
          </w:rPr>
          <w:fldChar w:fldCharType="separate"/>
        </w:r>
        <w:r w:rsidR="00262992">
          <w:rPr>
            <w:webHidden/>
          </w:rPr>
          <w:t>21</w:t>
        </w:r>
        <w:r w:rsidR="00011407">
          <w:rPr>
            <w:webHidden/>
          </w:rPr>
          <w:fldChar w:fldCharType="end"/>
        </w:r>
      </w:hyperlink>
    </w:p>
    <w:p w14:paraId="5449E406" w14:textId="69B415BD" w:rsidR="00011407" w:rsidRDefault="00C02639">
      <w:pPr>
        <w:pStyle w:val="Sadraj3"/>
        <w:tabs>
          <w:tab w:val="left" w:pos="1757"/>
        </w:tabs>
        <w:rPr>
          <w:rFonts w:asciiTheme="minorHAnsi" w:eastAsiaTheme="minorEastAsia" w:hAnsiTheme="minorHAnsi" w:cstheme="minorBidi"/>
          <w:sz w:val="22"/>
          <w:szCs w:val="22"/>
        </w:rPr>
      </w:pPr>
      <w:hyperlink w:anchor="_Toc36308929" w:history="1">
        <w:r w:rsidR="00011407" w:rsidRPr="00585AB2">
          <w:rPr>
            <w:rStyle w:val="Hiperveza"/>
          </w:rPr>
          <w:t>3.5.1.</w:t>
        </w:r>
        <w:r w:rsidR="00011407">
          <w:rPr>
            <w:rFonts w:asciiTheme="minorHAnsi" w:eastAsiaTheme="minorEastAsia" w:hAnsiTheme="minorHAnsi" w:cstheme="minorBidi"/>
            <w:sz w:val="22"/>
            <w:szCs w:val="22"/>
          </w:rPr>
          <w:tab/>
        </w:r>
        <w:r w:rsidR="00011407" w:rsidRPr="00585AB2">
          <w:rPr>
            <w:rStyle w:val="Hiperveza"/>
          </w:rPr>
          <w:t>Državna tijela</w:t>
        </w:r>
        <w:r w:rsidR="00011407">
          <w:rPr>
            <w:webHidden/>
          </w:rPr>
          <w:tab/>
        </w:r>
        <w:r w:rsidR="00011407">
          <w:rPr>
            <w:webHidden/>
          </w:rPr>
          <w:fldChar w:fldCharType="begin"/>
        </w:r>
        <w:r w:rsidR="00011407">
          <w:rPr>
            <w:webHidden/>
          </w:rPr>
          <w:instrText xml:space="preserve"> PAGEREF _Toc36308929 \h </w:instrText>
        </w:r>
        <w:r w:rsidR="00011407">
          <w:rPr>
            <w:webHidden/>
          </w:rPr>
        </w:r>
        <w:r w:rsidR="00011407">
          <w:rPr>
            <w:webHidden/>
          </w:rPr>
          <w:fldChar w:fldCharType="separate"/>
        </w:r>
        <w:r w:rsidR="00262992">
          <w:rPr>
            <w:webHidden/>
          </w:rPr>
          <w:t>21</w:t>
        </w:r>
        <w:r w:rsidR="00011407">
          <w:rPr>
            <w:webHidden/>
          </w:rPr>
          <w:fldChar w:fldCharType="end"/>
        </w:r>
      </w:hyperlink>
    </w:p>
    <w:p w14:paraId="31BDA541" w14:textId="387034E3" w:rsidR="00011407" w:rsidRDefault="00C02639">
      <w:pPr>
        <w:pStyle w:val="Sadraj3"/>
        <w:tabs>
          <w:tab w:val="left" w:pos="1757"/>
        </w:tabs>
        <w:rPr>
          <w:rFonts w:asciiTheme="minorHAnsi" w:eastAsiaTheme="minorEastAsia" w:hAnsiTheme="minorHAnsi" w:cstheme="minorBidi"/>
          <w:sz w:val="22"/>
          <w:szCs w:val="22"/>
        </w:rPr>
      </w:pPr>
      <w:hyperlink w:anchor="_Toc36308930" w:history="1">
        <w:r w:rsidR="00011407" w:rsidRPr="00585AB2">
          <w:rPr>
            <w:rStyle w:val="Hiperveza"/>
          </w:rPr>
          <w:t>3.5.2.</w:t>
        </w:r>
        <w:r w:rsidR="00011407">
          <w:rPr>
            <w:rFonts w:asciiTheme="minorHAnsi" w:eastAsiaTheme="minorEastAsia" w:hAnsiTheme="minorHAnsi" w:cstheme="minorBidi"/>
            <w:sz w:val="22"/>
            <w:szCs w:val="22"/>
          </w:rPr>
          <w:tab/>
        </w:r>
        <w:r w:rsidR="00011407" w:rsidRPr="00585AB2">
          <w:rPr>
            <w:rStyle w:val="Hiperveza"/>
          </w:rPr>
          <w:t>Tijela državne uprave</w:t>
        </w:r>
        <w:r w:rsidR="00011407">
          <w:rPr>
            <w:webHidden/>
          </w:rPr>
          <w:tab/>
        </w:r>
        <w:r w:rsidR="00011407">
          <w:rPr>
            <w:webHidden/>
          </w:rPr>
          <w:fldChar w:fldCharType="begin"/>
        </w:r>
        <w:r w:rsidR="00011407">
          <w:rPr>
            <w:webHidden/>
          </w:rPr>
          <w:instrText xml:space="preserve"> PAGEREF _Toc36308930 \h </w:instrText>
        </w:r>
        <w:r w:rsidR="00011407">
          <w:rPr>
            <w:webHidden/>
          </w:rPr>
        </w:r>
        <w:r w:rsidR="00011407">
          <w:rPr>
            <w:webHidden/>
          </w:rPr>
          <w:fldChar w:fldCharType="separate"/>
        </w:r>
        <w:r w:rsidR="00262992">
          <w:rPr>
            <w:webHidden/>
          </w:rPr>
          <w:t>22</w:t>
        </w:r>
        <w:r w:rsidR="00011407">
          <w:rPr>
            <w:webHidden/>
          </w:rPr>
          <w:fldChar w:fldCharType="end"/>
        </w:r>
      </w:hyperlink>
    </w:p>
    <w:p w14:paraId="537977BE" w14:textId="641CAA29" w:rsidR="00011407" w:rsidRDefault="00C02639">
      <w:pPr>
        <w:pStyle w:val="Sadraj3"/>
        <w:tabs>
          <w:tab w:val="left" w:pos="1757"/>
        </w:tabs>
        <w:rPr>
          <w:rFonts w:asciiTheme="minorHAnsi" w:eastAsiaTheme="minorEastAsia" w:hAnsiTheme="minorHAnsi" w:cstheme="minorBidi"/>
          <w:sz w:val="22"/>
          <w:szCs w:val="22"/>
        </w:rPr>
      </w:pPr>
      <w:hyperlink w:anchor="_Toc36308931" w:history="1">
        <w:r w:rsidR="00011407" w:rsidRPr="00585AB2">
          <w:rPr>
            <w:rStyle w:val="Hiperveza"/>
          </w:rPr>
          <w:t>3.5.3.</w:t>
        </w:r>
        <w:r w:rsidR="00011407">
          <w:rPr>
            <w:rFonts w:asciiTheme="minorHAnsi" w:eastAsiaTheme="minorEastAsia" w:hAnsiTheme="minorHAnsi" w:cstheme="minorBidi"/>
            <w:sz w:val="22"/>
            <w:szCs w:val="22"/>
          </w:rPr>
          <w:tab/>
        </w:r>
        <w:r w:rsidR="00011407" w:rsidRPr="00585AB2">
          <w:rPr>
            <w:rStyle w:val="Hiperveza"/>
          </w:rPr>
          <w:t>Općine, gradovi i županije</w:t>
        </w:r>
        <w:r w:rsidR="00011407">
          <w:rPr>
            <w:webHidden/>
          </w:rPr>
          <w:tab/>
        </w:r>
        <w:r w:rsidR="00011407">
          <w:rPr>
            <w:webHidden/>
          </w:rPr>
          <w:fldChar w:fldCharType="begin"/>
        </w:r>
        <w:r w:rsidR="00011407">
          <w:rPr>
            <w:webHidden/>
          </w:rPr>
          <w:instrText xml:space="preserve"> PAGEREF _Toc36308931 \h </w:instrText>
        </w:r>
        <w:r w:rsidR="00011407">
          <w:rPr>
            <w:webHidden/>
          </w:rPr>
        </w:r>
        <w:r w:rsidR="00011407">
          <w:rPr>
            <w:webHidden/>
          </w:rPr>
          <w:fldChar w:fldCharType="separate"/>
        </w:r>
        <w:r w:rsidR="00262992">
          <w:rPr>
            <w:webHidden/>
          </w:rPr>
          <w:t>22</w:t>
        </w:r>
        <w:r w:rsidR="00011407">
          <w:rPr>
            <w:webHidden/>
          </w:rPr>
          <w:fldChar w:fldCharType="end"/>
        </w:r>
      </w:hyperlink>
    </w:p>
    <w:p w14:paraId="75F398A6" w14:textId="5DB8331B" w:rsidR="00011407" w:rsidRDefault="00C02639">
      <w:pPr>
        <w:pStyle w:val="Sadraj3"/>
        <w:tabs>
          <w:tab w:val="left" w:pos="1757"/>
        </w:tabs>
        <w:rPr>
          <w:rFonts w:asciiTheme="minorHAnsi" w:eastAsiaTheme="minorEastAsia" w:hAnsiTheme="minorHAnsi" w:cstheme="minorBidi"/>
          <w:sz w:val="22"/>
          <w:szCs w:val="22"/>
        </w:rPr>
      </w:pPr>
      <w:hyperlink w:anchor="_Toc36308932" w:history="1">
        <w:r w:rsidR="00011407" w:rsidRPr="00585AB2">
          <w:rPr>
            <w:rStyle w:val="Hiperveza"/>
          </w:rPr>
          <w:t>3.5.4.</w:t>
        </w:r>
        <w:r w:rsidR="00011407">
          <w:rPr>
            <w:rFonts w:asciiTheme="minorHAnsi" w:eastAsiaTheme="minorEastAsia" w:hAnsiTheme="minorHAnsi" w:cstheme="minorBidi"/>
            <w:sz w:val="22"/>
            <w:szCs w:val="22"/>
          </w:rPr>
          <w:tab/>
        </w:r>
        <w:r w:rsidR="00011407" w:rsidRPr="00585AB2">
          <w:rPr>
            <w:rStyle w:val="Hiperveza"/>
          </w:rPr>
          <w:t>Pravosudna tijela</w:t>
        </w:r>
        <w:r w:rsidR="00011407">
          <w:rPr>
            <w:webHidden/>
          </w:rPr>
          <w:tab/>
        </w:r>
        <w:r w:rsidR="00011407">
          <w:rPr>
            <w:webHidden/>
          </w:rPr>
          <w:fldChar w:fldCharType="begin"/>
        </w:r>
        <w:r w:rsidR="00011407">
          <w:rPr>
            <w:webHidden/>
          </w:rPr>
          <w:instrText xml:space="preserve"> PAGEREF _Toc36308932 \h </w:instrText>
        </w:r>
        <w:r w:rsidR="00011407">
          <w:rPr>
            <w:webHidden/>
          </w:rPr>
        </w:r>
        <w:r w:rsidR="00011407">
          <w:rPr>
            <w:webHidden/>
          </w:rPr>
          <w:fldChar w:fldCharType="separate"/>
        </w:r>
        <w:r w:rsidR="00262992">
          <w:rPr>
            <w:webHidden/>
          </w:rPr>
          <w:t>23</w:t>
        </w:r>
        <w:r w:rsidR="00011407">
          <w:rPr>
            <w:webHidden/>
          </w:rPr>
          <w:fldChar w:fldCharType="end"/>
        </w:r>
      </w:hyperlink>
    </w:p>
    <w:p w14:paraId="1D341656" w14:textId="125A304F" w:rsidR="00011407" w:rsidRDefault="00C02639">
      <w:pPr>
        <w:pStyle w:val="Sadraj2"/>
        <w:rPr>
          <w:rFonts w:asciiTheme="minorHAnsi" w:eastAsiaTheme="minorEastAsia" w:hAnsiTheme="minorHAnsi" w:cstheme="minorBidi"/>
          <w:sz w:val="22"/>
          <w:szCs w:val="22"/>
        </w:rPr>
      </w:pPr>
      <w:hyperlink w:anchor="_Toc36308933" w:history="1">
        <w:r w:rsidR="00011407" w:rsidRPr="00585AB2">
          <w:rPr>
            <w:rStyle w:val="Hiperveza"/>
            <w:rFonts w:cstheme="minorHAnsi"/>
          </w:rPr>
          <w:t>3.6.</w:t>
        </w:r>
        <w:r w:rsidR="00011407">
          <w:rPr>
            <w:rFonts w:asciiTheme="minorHAnsi" w:eastAsiaTheme="minorEastAsia" w:hAnsiTheme="minorHAnsi" w:cstheme="minorBidi"/>
            <w:sz w:val="22"/>
            <w:szCs w:val="22"/>
          </w:rPr>
          <w:tab/>
        </w:r>
        <w:r w:rsidR="00011407" w:rsidRPr="00585AB2">
          <w:rPr>
            <w:rStyle w:val="Hiperveza"/>
          </w:rPr>
          <w:t>Odluke o žalbama prema odabranim razlozima odbijanja zahtjeva</w:t>
        </w:r>
        <w:r w:rsidR="00011407">
          <w:rPr>
            <w:webHidden/>
          </w:rPr>
          <w:tab/>
        </w:r>
        <w:r w:rsidR="00011407">
          <w:rPr>
            <w:webHidden/>
          </w:rPr>
          <w:fldChar w:fldCharType="begin"/>
        </w:r>
        <w:r w:rsidR="00011407">
          <w:rPr>
            <w:webHidden/>
          </w:rPr>
          <w:instrText xml:space="preserve"> PAGEREF _Toc36308933 \h </w:instrText>
        </w:r>
        <w:r w:rsidR="00011407">
          <w:rPr>
            <w:webHidden/>
          </w:rPr>
        </w:r>
        <w:r w:rsidR="00011407">
          <w:rPr>
            <w:webHidden/>
          </w:rPr>
          <w:fldChar w:fldCharType="separate"/>
        </w:r>
        <w:r w:rsidR="00262992">
          <w:rPr>
            <w:webHidden/>
          </w:rPr>
          <w:t>24</w:t>
        </w:r>
        <w:r w:rsidR="00011407">
          <w:rPr>
            <w:webHidden/>
          </w:rPr>
          <w:fldChar w:fldCharType="end"/>
        </w:r>
      </w:hyperlink>
    </w:p>
    <w:p w14:paraId="7249A8CC" w14:textId="65466731" w:rsidR="00011407" w:rsidRDefault="00C02639">
      <w:pPr>
        <w:pStyle w:val="Sadraj3"/>
        <w:tabs>
          <w:tab w:val="left" w:pos="1757"/>
        </w:tabs>
        <w:rPr>
          <w:rFonts w:asciiTheme="minorHAnsi" w:eastAsiaTheme="minorEastAsia" w:hAnsiTheme="minorHAnsi" w:cstheme="minorBidi"/>
          <w:sz w:val="22"/>
          <w:szCs w:val="22"/>
        </w:rPr>
      </w:pPr>
      <w:hyperlink w:anchor="_Toc36308934" w:history="1">
        <w:r w:rsidR="00011407" w:rsidRPr="00585AB2">
          <w:rPr>
            <w:rStyle w:val="Hiperveza"/>
          </w:rPr>
          <w:t>3.6.1.</w:t>
        </w:r>
        <w:r w:rsidR="00011407">
          <w:rPr>
            <w:rFonts w:asciiTheme="minorHAnsi" w:eastAsiaTheme="minorEastAsia" w:hAnsiTheme="minorHAnsi" w:cstheme="minorBidi"/>
            <w:sz w:val="22"/>
            <w:szCs w:val="22"/>
          </w:rPr>
          <w:tab/>
        </w:r>
        <w:r w:rsidR="00011407" w:rsidRPr="00585AB2">
          <w:rPr>
            <w:rStyle w:val="Hiperveza"/>
          </w:rPr>
          <w:t>Osobni podaci</w:t>
        </w:r>
        <w:r w:rsidR="00011407">
          <w:rPr>
            <w:webHidden/>
          </w:rPr>
          <w:tab/>
        </w:r>
        <w:r w:rsidR="00011407">
          <w:rPr>
            <w:webHidden/>
          </w:rPr>
          <w:fldChar w:fldCharType="begin"/>
        </w:r>
        <w:r w:rsidR="00011407">
          <w:rPr>
            <w:webHidden/>
          </w:rPr>
          <w:instrText xml:space="preserve"> PAGEREF _Toc36308934 \h </w:instrText>
        </w:r>
        <w:r w:rsidR="00011407">
          <w:rPr>
            <w:webHidden/>
          </w:rPr>
        </w:r>
        <w:r w:rsidR="00011407">
          <w:rPr>
            <w:webHidden/>
          </w:rPr>
          <w:fldChar w:fldCharType="separate"/>
        </w:r>
        <w:r w:rsidR="00262992">
          <w:rPr>
            <w:webHidden/>
          </w:rPr>
          <w:t>24</w:t>
        </w:r>
        <w:r w:rsidR="00011407">
          <w:rPr>
            <w:webHidden/>
          </w:rPr>
          <w:fldChar w:fldCharType="end"/>
        </w:r>
      </w:hyperlink>
    </w:p>
    <w:p w14:paraId="0EDD85DC" w14:textId="49B6BE5E" w:rsidR="00011407" w:rsidRDefault="00C02639">
      <w:pPr>
        <w:pStyle w:val="Sadraj3"/>
        <w:tabs>
          <w:tab w:val="left" w:pos="1757"/>
        </w:tabs>
        <w:rPr>
          <w:rFonts w:asciiTheme="minorHAnsi" w:eastAsiaTheme="minorEastAsia" w:hAnsiTheme="minorHAnsi" w:cstheme="minorBidi"/>
          <w:sz w:val="22"/>
          <w:szCs w:val="22"/>
        </w:rPr>
      </w:pPr>
      <w:hyperlink w:anchor="_Toc36308935" w:history="1">
        <w:r w:rsidR="00011407" w:rsidRPr="00585AB2">
          <w:rPr>
            <w:rStyle w:val="Hiperveza"/>
          </w:rPr>
          <w:t>3.6.2.</w:t>
        </w:r>
        <w:r w:rsidR="00011407">
          <w:rPr>
            <w:rFonts w:asciiTheme="minorHAnsi" w:eastAsiaTheme="minorEastAsia" w:hAnsiTheme="minorHAnsi" w:cstheme="minorBidi"/>
            <w:sz w:val="22"/>
            <w:szCs w:val="22"/>
          </w:rPr>
          <w:tab/>
        </w:r>
        <w:r w:rsidR="00011407" w:rsidRPr="00585AB2">
          <w:rPr>
            <w:rStyle w:val="Hiperveza"/>
          </w:rPr>
          <w:t>Poslovna, profesionalna i porezna tajna</w:t>
        </w:r>
        <w:r w:rsidR="00011407">
          <w:rPr>
            <w:webHidden/>
          </w:rPr>
          <w:tab/>
        </w:r>
        <w:r w:rsidR="00011407">
          <w:rPr>
            <w:webHidden/>
          </w:rPr>
          <w:fldChar w:fldCharType="begin"/>
        </w:r>
        <w:r w:rsidR="00011407">
          <w:rPr>
            <w:webHidden/>
          </w:rPr>
          <w:instrText xml:space="preserve"> PAGEREF _Toc36308935 \h </w:instrText>
        </w:r>
        <w:r w:rsidR="00011407">
          <w:rPr>
            <w:webHidden/>
          </w:rPr>
        </w:r>
        <w:r w:rsidR="00011407">
          <w:rPr>
            <w:webHidden/>
          </w:rPr>
          <w:fldChar w:fldCharType="separate"/>
        </w:r>
        <w:r w:rsidR="00262992">
          <w:rPr>
            <w:webHidden/>
          </w:rPr>
          <w:t>25</w:t>
        </w:r>
        <w:r w:rsidR="00011407">
          <w:rPr>
            <w:webHidden/>
          </w:rPr>
          <w:fldChar w:fldCharType="end"/>
        </w:r>
      </w:hyperlink>
    </w:p>
    <w:p w14:paraId="63650430" w14:textId="01F72869" w:rsidR="00011407" w:rsidRDefault="00C02639">
      <w:pPr>
        <w:pStyle w:val="Sadraj3"/>
        <w:tabs>
          <w:tab w:val="left" w:pos="1757"/>
        </w:tabs>
        <w:rPr>
          <w:rFonts w:asciiTheme="minorHAnsi" w:eastAsiaTheme="minorEastAsia" w:hAnsiTheme="minorHAnsi" w:cstheme="minorBidi"/>
          <w:sz w:val="22"/>
          <w:szCs w:val="22"/>
        </w:rPr>
      </w:pPr>
      <w:hyperlink w:anchor="_Toc36308936" w:history="1">
        <w:r w:rsidR="00011407" w:rsidRPr="00585AB2">
          <w:rPr>
            <w:rStyle w:val="Hiperveza"/>
          </w:rPr>
          <w:t>3.6.3.</w:t>
        </w:r>
        <w:r w:rsidR="00011407">
          <w:rPr>
            <w:rFonts w:asciiTheme="minorHAnsi" w:eastAsiaTheme="minorEastAsia" w:hAnsiTheme="minorHAnsi" w:cstheme="minorBidi"/>
            <w:sz w:val="22"/>
            <w:szCs w:val="22"/>
          </w:rPr>
          <w:tab/>
        </w:r>
        <w:r w:rsidR="00011407" w:rsidRPr="00585AB2">
          <w:rPr>
            <w:rStyle w:val="Hiperveza"/>
          </w:rPr>
          <w:t>Zlouporaba prava</w:t>
        </w:r>
        <w:r w:rsidR="00011407">
          <w:rPr>
            <w:webHidden/>
          </w:rPr>
          <w:tab/>
        </w:r>
        <w:r w:rsidR="00011407">
          <w:rPr>
            <w:webHidden/>
          </w:rPr>
          <w:fldChar w:fldCharType="begin"/>
        </w:r>
        <w:r w:rsidR="00011407">
          <w:rPr>
            <w:webHidden/>
          </w:rPr>
          <w:instrText xml:space="preserve"> PAGEREF _Toc36308936 \h </w:instrText>
        </w:r>
        <w:r w:rsidR="00011407">
          <w:rPr>
            <w:webHidden/>
          </w:rPr>
        </w:r>
        <w:r w:rsidR="00011407">
          <w:rPr>
            <w:webHidden/>
          </w:rPr>
          <w:fldChar w:fldCharType="separate"/>
        </w:r>
        <w:r w:rsidR="00262992">
          <w:rPr>
            <w:webHidden/>
          </w:rPr>
          <w:t>27</w:t>
        </w:r>
        <w:r w:rsidR="00011407">
          <w:rPr>
            <w:webHidden/>
          </w:rPr>
          <w:fldChar w:fldCharType="end"/>
        </w:r>
      </w:hyperlink>
    </w:p>
    <w:p w14:paraId="355E9947" w14:textId="09DCA82D" w:rsidR="00011407" w:rsidRDefault="00C02639">
      <w:pPr>
        <w:pStyle w:val="Sadraj3"/>
        <w:tabs>
          <w:tab w:val="left" w:pos="1757"/>
        </w:tabs>
        <w:rPr>
          <w:rFonts w:asciiTheme="minorHAnsi" w:eastAsiaTheme="minorEastAsia" w:hAnsiTheme="minorHAnsi" w:cstheme="minorBidi"/>
          <w:sz w:val="22"/>
          <w:szCs w:val="22"/>
        </w:rPr>
      </w:pPr>
      <w:hyperlink w:anchor="_Toc36308937" w:history="1">
        <w:r w:rsidR="00011407" w:rsidRPr="00585AB2">
          <w:rPr>
            <w:rStyle w:val="Hiperveza"/>
          </w:rPr>
          <w:t>3.6.4.</w:t>
        </w:r>
        <w:r w:rsidR="00011407">
          <w:rPr>
            <w:rFonts w:asciiTheme="minorHAnsi" w:eastAsiaTheme="minorEastAsia" w:hAnsiTheme="minorHAnsi" w:cstheme="minorBidi"/>
            <w:sz w:val="22"/>
            <w:szCs w:val="22"/>
          </w:rPr>
          <w:tab/>
        </w:r>
        <w:r w:rsidR="00011407" w:rsidRPr="00585AB2">
          <w:rPr>
            <w:rStyle w:val="Hiperveza"/>
          </w:rPr>
          <w:t>Tijelo javne vlasti ne posjeduje informaciju</w:t>
        </w:r>
        <w:r w:rsidR="00011407">
          <w:rPr>
            <w:webHidden/>
          </w:rPr>
          <w:tab/>
        </w:r>
        <w:r w:rsidR="00011407">
          <w:rPr>
            <w:webHidden/>
          </w:rPr>
          <w:fldChar w:fldCharType="begin"/>
        </w:r>
        <w:r w:rsidR="00011407">
          <w:rPr>
            <w:webHidden/>
          </w:rPr>
          <w:instrText xml:space="preserve"> PAGEREF _Toc36308937 \h </w:instrText>
        </w:r>
        <w:r w:rsidR="00011407">
          <w:rPr>
            <w:webHidden/>
          </w:rPr>
        </w:r>
        <w:r w:rsidR="00011407">
          <w:rPr>
            <w:webHidden/>
          </w:rPr>
          <w:fldChar w:fldCharType="separate"/>
        </w:r>
        <w:r w:rsidR="00262992">
          <w:rPr>
            <w:webHidden/>
          </w:rPr>
          <w:t>27</w:t>
        </w:r>
        <w:r w:rsidR="00011407">
          <w:rPr>
            <w:webHidden/>
          </w:rPr>
          <w:fldChar w:fldCharType="end"/>
        </w:r>
      </w:hyperlink>
    </w:p>
    <w:p w14:paraId="092B0B98" w14:textId="5195EE72" w:rsidR="00011407" w:rsidRDefault="00C02639">
      <w:pPr>
        <w:pStyle w:val="Sadraj3"/>
        <w:tabs>
          <w:tab w:val="left" w:pos="1757"/>
        </w:tabs>
        <w:rPr>
          <w:rFonts w:asciiTheme="minorHAnsi" w:eastAsiaTheme="minorEastAsia" w:hAnsiTheme="minorHAnsi" w:cstheme="minorBidi"/>
          <w:sz w:val="22"/>
          <w:szCs w:val="22"/>
        </w:rPr>
      </w:pPr>
      <w:hyperlink w:anchor="_Toc36308938" w:history="1">
        <w:r w:rsidR="00011407" w:rsidRPr="00585AB2">
          <w:rPr>
            <w:rStyle w:val="Hiperveza"/>
          </w:rPr>
          <w:t>3.6.5.</w:t>
        </w:r>
        <w:r w:rsidR="00011407">
          <w:rPr>
            <w:rFonts w:asciiTheme="minorHAnsi" w:eastAsiaTheme="minorEastAsia" w:hAnsiTheme="minorHAnsi" w:cstheme="minorBidi"/>
            <w:sz w:val="22"/>
            <w:szCs w:val="22"/>
          </w:rPr>
          <w:tab/>
        </w:r>
        <w:r w:rsidR="00011407" w:rsidRPr="00585AB2">
          <w:rPr>
            <w:rStyle w:val="Hiperveza"/>
          </w:rPr>
          <w:t>Informacija se ne smatra informacijom u smislu Zakona</w:t>
        </w:r>
        <w:r w:rsidR="00011407">
          <w:rPr>
            <w:webHidden/>
          </w:rPr>
          <w:tab/>
        </w:r>
        <w:r w:rsidR="00011407">
          <w:rPr>
            <w:webHidden/>
          </w:rPr>
          <w:fldChar w:fldCharType="begin"/>
        </w:r>
        <w:r w:rsidR="00011407">
          <w:rPr>
            <w:webHidden/>
          </w:rPr>
          <w:instrText xml:space="preserve"> PAGEREF _Toc36308938 \h </w:instrText>
        </w:r>
        <w:r w:rsidR="00011407">
          <w:rPr>
            <w:webHidden/>
          </w:rPr>
        </w:r>
        <w:r w:rsidR="00011407">
          <w:rPr>
            <w:webHidden/>
          </w:rPr>
          <w:fldChar w:fldCharType="separate"/>
        </w:r>
        <w:r w:rsidR="00262992">
          <w:rPr>
            <w:webHidden/>
          </w:rPr>
          <w:t>27</w:t>
        </w:r>
        <w:r w:rsidR="00011407">
          <w:rPr>
            <w:webHidden/>
          </w:rPr>
          <w:fldChar w:fldCharType="end"/>
        </w:r>
      </w:hyperlink>
    </w:p>
    <w:p w14:paraId="53686EAE" w14:textId="3884F8C9" w:rsidR="00011407" w:rsidRDefault="00C02639">
      <w:pPr>
        <w:pStyle w:val="Sadraj3"/>
        <w:tabs>
          <w:tab w:val="left" w:pos="1757"/>
        </w:tabs>
        <w:rPr>
          <w:rFonts w:asciiTheme="minorHAnsi" w:eastAsiaTheme="minorEastAsia" w:hAnsiTheme="minorHAnsi" w:cstheme="minorBidi"/>
          <w:sz w:val="22"/>
          <w:szCs w:val="22"/>
        </w:rPr>
      </w:pPr>
      <w:hyperlink w:anchor="_Toc36308939" w:history="1">
        <w:r w:rsidR="00011407" w:rsidRPr="00585AB2">
          <w:rPr>
            <w:rStyle w:val="Hiperveza"/>
          </w:rPr>
          <w:t>3.6.6.</w:t>
        </w:r>
        <w:r w:rsidR="00011407">
          <w:rPr>
            <w:rFonts w:asciiTheme="minorHAnsi" w:eastAsiaTheme="minorEastAsia" w:hAnsiTheme="minorHAnsi" w:cstheme="minorBidi"/>
            <w:sz w:val="22"/>
            <w:szCs w:val="22"/>
          </w:rPr>
          <w:tab/>
        </w:r>
        <w:r w:rsidR="00011407" w:rsidRPr="00585AB2">
          <w:rPr>
            <w:rStyle w:val="Hiperveza"/>
          </w:rPr>
          <w:t>Klasificirana informacija</w:t>
        </w:r>
        <w:r w:rsidR="00011407">
          <w:rPr>
            <w:webHidden/>
          </w:rPr>
          <w:tab/>
        </w:r>
        <w:r w:rsidR="00011407">
          <w:rPr>
            <w:webHidden/>
          </w:rPr>
          <w:fldChar w:fldCharType="begin"/>
        </w:r>
        <w:r w:rsidR="00011407">
          <w:rPr>
            <w:webHidden/>
          </w:rPr>
          <w:instrText xml:space="preserve"> PAGEREF _Toc36308939 \h </w:instrText>
        </w:r>
        <w:r w:rsidR="00011407">
          <w:rPr>
            <w:webHidden/>
          </w:rPr>
        </w:r>
        <w:r w:rsidR="00011407">
          <w:rPr>
            <w:webHidden/>
          </w:rPr>
          <w:fldChar w:fldCharType="separate"/>
        </w:r>
        <w:r w:rsidR="00262992">
          <w:rPr>
            <w:webHidden/>
          </w:rPr>
          <w:t>28</w:t>
        </w:r>
        <w:r w:rsidR="00011407">
          <w:rPr>
            <w:webHidden/>
          </w:rPr>
          <w:fldChar w:fldCharType="end"/>
        </w:r>
      </w:hyperlink>
    </w:p>
    <w:p w14:paraId="686AE658" w14:textId="6CB429A1" w:rsidR="00011407" w:rsidRDefault="00C02639">
      <w:pPr>
        <w:pStyle w:val="Sadraj2"/>
        <w:rPr>
          <w:rFonts w:asciiTheme="minorHAnsi" w:eastAsiaTheme="minorEastAsia" w:hAnsiTheme="minorHAnsi" w:cstheme="minorBidi"/>
          <w:sz w:val="22"/>
          <w:szCs w:val="22"/>
        </w:rPr>
      </w:pPr>
      <w:hyperlink w:anchor="_Toc36308940" w:history="1">
        <w:r w:rsidR="00011407" w:rsidRPr="00585AB2">
          <w:rPr>
            <w:rStyle w:val="Hiperveza"/>
          </w:rPr>
          <w:t>3.7.</w:t>
        </w:r>
        <w:r w:rsidR="00011407">
          <w:rPr>
            <w:rFonts w:asciiTheme="minorHAnsi" w:eastAsiaTheme="minorEastAsia" w:hAnsiTheme="minorHAnsi" w:cstheme="minorBidi"/>
            <w:sz w:val="22"/>
            <w:szCs w:val="22"/>
          </w:rPr>
          <w:tab/>
        </w:r>
        <w:r w:rsidR="00011407" w:rsidRPr="00585AB2">
          <w:rPr>
            <w:rStyle w:val="Hiperveza"/>
          </w:rPr>
          <w:t>Žalbe na postupanje sa zahtjevima za ponovnu uporabu informacija</w:t>
        </w:r>
        <w:r w:rsidR="00011407">
          <w:rPr>
            <w:webHidden/>
          </w:rPr>
          <w:tab/>
        </w:r>
        <w:r w:rsidR="00011407">
          <w:rPr>
            <w:webHidden/>
          </w:rPr>
          <w:fldChar w:fldCharType="begin"/>
        </w:r>
        <w:r w:rsidR="00011407">
          <w:rPr>
            <w:webHidden/>
          </w:rPr>
          <w:instrText xml:space="preserve"> PAGEREF _Toc36308940 \h </w:instrText>
        </w:r>
        <w:r w:rsidR="00011407">
          <w:rPr>
            <w:webHidden/>
          </w:rPr>
        </w:r>
        <w:r w:rsidR="00011407">
          <w:rPr>
            <w:webHidden/>
          </w:rPr>
          <w:fldChar w:fldCharType="separate"/>
        </w:r>
        <w:r w:rsidR="00262992">
          <w:rPr>
            <w:webHidden/>
          </w:rPr>
          <w:t>28</w:t>
        </w:r>
        <w:r w:rsidR="00011407">
          <w:rPr>
            <w:webHidden/>
          </w:rPr>
          <w:fldChar w:fldCharType="end"/>
        </w:r>
      </w:hyperlink>
    </w:p>
    <w:p w14:paraId="6813B5B4" w14:textId="692396D4" w:rsidR="00011407" w:rsidRDefault="00C02639">
      <w:pPr>
        <w:pStyle w:val="Sadraj2"/>
        <w:rPr>
          <w:rFonts w:asciiTheme="minorHAnsi" w:eastAsiaTheme="minorEastAsia" w:hAnsiTheme="minorHAnsi" w:cstheme="minorBidi"/>
          <w:sz w:val="22"/>
          <w:szCs w:val="22"/>
        </w:rPr>
      </w:pPr>
      <w:hyperlink w:anchor="_Toc36308941" w:history="1">
        <w:r w:rsidR="00011407" w:rsidRPr="00585AB2">
          <w:rPr>
            <w:rStyle w:val="Hiperveza"/>
            <w:rFonts w:cs="Arial"/>
          </w:rPr>
          <w:t>3.8.</w:t>
        </w:r>
        <w:r w:rsidR="00011407">
          <w:rPr>
            <w:rFonts w:asciiTheme="minorHAnsi" w:eastAsiaTheme="minorEastAsia" w:hAnsiTheme="minorHAnsi" w:cstheme="minorBidi"/>
            <w:sz w:val="22"/>
            <w:szCs w:val="22"/>
          </w:rPr>
          <w:tab/>
        </w:r>
        <w:r w:rsidR="00011407" w:rsidRPr="00585AB2">
          <w:rPr>
            <w:rStyle w:val="Hiperveza"/>
          </w:rPr>
          <w:t>Značajnije odluke Povjerenika za informiranje</w:t>
        </w:r>
        <w:r w:rsidR="00011407">
          <w:rPr>
            <w:webHidden/>
          </w:rPr>
          <w:tab/>
        </w:r>
        <w:r w:rsidR="00011407">
          <w:rPr>
            <w:webHidden/>
          </w:rPr>
          <w:fldChar w:fldCharType="begin"/>
        </w:r>
        <w:r w:rsidR="00011407">
          <w:rPr>
            <w:webHidden/>
          </w:rPr>
          <w:instrText xml:space="preserve"> PAGEREF _Toc36308941 \h </w:instrText>
        </w:r>
        <w:r w:rsidR="00011407">
          <w:rPr>
            <w:webHidden/>
          </w:rPr>
        </w:r>
        <w:r w:rsidR="00011407">
          <w:rPr>
            <w:webHidden/>
          </w:rPr>
          <w:fldChar w:fldCharType="separate"/>
        </w:r>
        <w:r w:rsidR="00262992">
          <w:rPr>
            <w:webHidden/>
          </w:rPr>
          <w:t>29</w:t>
        </w:r>
        <w:r w:rsidR="00011407">
          <w:rPr>
            <w:webHidden/>
          </w:rPr>
          <w:fldChar w:fldCharType="end"/>
        </w:r>
      </w:hyperlink>
    </w:p>
    <w:p w14:paraId="572E9E45" w14:textId="57A8222B" w:rsidR="00011407" w:rsidRDefault="00C02639">
      <w:pPr>
        <w:pStyle w:val="Sadraj2"/>
        <w:rPr>
          <w:rFonts w:asciiTheme="minorHAnsi" w:eastAsiaTheme="minorEastAsia" w:hAnsiTheme="minorHAnsi" w:cstheme="minorBidi"/>
          <w:sz w:val="22"/>
          <w:szCs w:val="22"/>
        </w:rPr>
      </w:pPr>
      <w:hyperlink w:anchor="_Toc36308942" w:history="1">
        <w:r w:rsidR="00011407" w:rsidRPr="00585AB2">
          <w:rPr>
            <w:rStyle w:val="Hiperveza"/>
          </w:rPr>
          <w:t>3.9.</w:t>
        </w:r>
        <w:r w:rsidR="00011407">
          <w:rPr>
            <w:rFonts w:asciiTheme="minorHAnsi" w:eastAsiaTheme="minorEastAsia" w:hAnsiTheme="minorHAnsi" w:cstheme="minorBidi"/>
            <w:sz w:val="22"/>
            <w:szCs w:val="22"/>
          </w:rPr>
          <w:tab/>
        </w:r>
        <w:r w:rsidR="00011407" w:rsidRPr="00585AB2">
          <w:rPr>
            <w:rStyle w:val="Hiperveza"/>
          </w:rPr>
          <w:t>Izvršenje pravomoćnih rješenja</w:t>
        </w:r>
        <w:r w:rsidR="00011407">
          <w:rPr>
            <w:webHidden/>
          </w:rPr>
          <w:tab/>
        </w:r>
        <w:r w:rsidR="00011407">
          <w:rPr>
            <w:webHidden/>
          </w:rPr>
          <w:fldChar w:fldCharType="begin"/>
        </w:r>
        <w:r w:rsidR="00011407">
          <w:rPr>
            <w:webHidden/>
          </w:rPr>
          <w:instrText xml:space="preserve"> PAGEREF _Toc36308942 \h </w:instrText>
        </w:r>
        <w:r w:rsidR="00011407">
          <w:rPr>
            <w:webHidden/>
          </w:rPr>
        </w:r>
        <w:r w:rsidR="00011407">
          <w:rPr>
            <w:webHidden/>
          </w:rPr>
          <w:fldChar w:fldCharType="separate"/>
        </w:r>
        <w:r w:rsidR="00262992">
          <w:rPr>
            <w:webHidden/>
          </w:rPr>
          <w:t>31</w:t>
        </w:r>
        <w:r w:rsidR="00011407">
          <w:rPr>
            <w:webHidden/>
          </w:rPr>
          <w:fldChar w:fldCharType="end"/>
        </w:r>
      </w:hyperlink>
    </w:p>
    <w:p w14:paraId="327A9BC7" w14:textId="212B885C" w:rsidR="00011407" w:rsidRDefault="00C02639">
      <w:pPr>
        <w:pStyle w:val="Sadraj2"/>
        <w:rPr>
          <w:rFonts w:asciiTheme="minorHAnsi" w:eastAsiaTheme="minorEastAsia" w:hAnsiTheme="minorHAnsi" w:cstheme="minorBidi"/>
          <w:sz w:val="22"/>
          <w:szCs w:val="22"/>
        </w:rPr>
      </w:pPr>
      <w:hyperlink w:anchor="_Toc36308943" w:history="1">
        <w:r w:rsidR="00011407" w:rsidRPr="00585AB2">
          <w:rPr>
            <w:rStyle w:val="Hiperveza"/>
          </w:rPr>
          <w:t>3.10.</w:t>
        </w:r>
        <w:r w:rsidR="00011407">
          <w:rPr>
            <w:rFonts w:asciiTheme="minorHAnsi" w:eastAsiaTheme="minorEastAsia" w:hAnsiTheme="minorHAnsi" w:cstheme="minorBidi"/>
            <w:sz w:val="22"/>
            <w:szCs w:val="22"/>
          </w:rPr>
          <w:tab/>
        </w:r>
        <w:r w:rsidR="00011407" w:rsidRPr="00585AB2">
          <w:rPr>
            <w:rStyle w:val="Hiperveza"/>
          </w:rPr>
          <w:t>Sudski nadzor</w:t>
        </w:r>
        <w:r w:rsidR="00011407">
          <w:rPr>
            <w:webHidden/>
          </w:rPr>
          <w:tab/>
        </w:r>
        <w:r w:rsidR="00011407">
          <w:rPr>
            <w:webHidden/>
          </w:rPr>
          <w:fldChar w:fldCharType="begin"/>
        </w:r>
        <w:r w:rsidR="00011407">
          <w:rPr>
            <w:webHidden/>
          </w:rPr>
          <w:instrText xml:space="preserve"> PAGEREF _Toc36308943 \h </w:instrText>
        </w:r>
        <w:r w:rsidR="00011407">
          <w:rPr>
            <w:webHidden/>
          </w:rPr>
        </w:r>
        <w:r w:rsidR="00011407">
          <w:rPr>
            <w:webHidden/>
          </w:rPr>
          <w:fldChar w:fldCharType="separate"/>
        </w:r>
        <w:r w:rsidR="00262992">
          <w:rPr>
            <w:webHidden/>
          </w:rPr>
          <w:t>32</w:t>
        </w:r>
        <w:r w:rsidR="00011407">
          <w:rPr>
            <w:webHidden/>
          </w:rPr>
          <w:fldChar w:fldCharType="end"/>
        </w:r>
      </w:hyperlink>
    </w:p>
    <w:p w14:paraId="24B6EB8D" w14:textId="0ADFE54E" w:rsidR="00011407" w:rsidRDefault="00C02639">
      <w:pPr>
        <w:pStyle w:val="Sadraj3"/>
        <w:tabs>
          <w:tab w:val="left" w:pos="1757"/>
        </w:tabs>
        <w:rPr>
          <w:rFonts w:asciiTheme="minorHAnsi" w:eastAsiaTheme="minorEastAsia" w:hAnsiTheme="minorHAnsi" w:cstheme="minorBidi"/>
          <w:sz w:val="22"/>
          <w:szCs w:val="22"/>
        </w:rPr>
      </w:pPr>
      <w:hyperlink w:anchor="_Toc36308944" w:history="1">
        <w:r w:rsidR="00011407" w:rsidRPr="00585AB2">
          <w:rPr>
            <w:rStyle w:val="Hiperveza"/>
          </w:rPr>
          <w:t>3.10.1.</w:t>
        </w:r>
        <w:r w:rsidR="00011407">
          <w:rPr>
            <w:rFonts w:asciiTheme="minorHAnsi" w:eastAsiaTheme="minorEastAsia" w:hAnsiTheme="minorHAnsi" w:cstheme="minorBidi"/>
            <w:sz w:val="22"/>
            <w:szCs w:val="22"/>
          </w:rPr>
          <w:tab/>
        </w:r>
        <w:r w:rsidR="00011407" w:rsidRPr="00585AB2">
          <w:rPr>
            <w:rStyle w:val="Hiperveza"/>
          </w:rPr>
          <w:t>Podnošenje tužbi</w:t>
        </w:r>
        <w:r w:rsidR="00011407">
          <w:rPr>
            <w:webHidden/>
          </w:rPr>
          <w:tab/>
        </w:r>
        <w:r w:rsidR="00011407">
          <w:rPr>
            <w:webHidden/>
          </w:rPr>
          <w:fldChar w:fldCharType="begin"/>
        </w:r>
        <w:r w:rsidR="00011407">
          <w:rPr>
            <w:webHidden/>
          </w:rPr>
          <w:instrText xml:space="preserve"> PAGEREF _Toc36308944 \h </w:instrText>
        </w:r>
        <w:r w:rsidR="00011407">
          <w:rPr>
            <w:webHidden/>
          </w:rPr>
        </w:r>
        <w:r w:rsidR="00011407">
          <w:rPr>
            <w:webHidden/>
          </w:rPr>
          <w:fldChar w:fldCharType="separate"/>
        </w:r>
        <w:r w:rsidR="00262992">
          <w:rPr>
            <w:webHidden/>
          </w:rPr>
          <w:t>33</w:t>
        </w:r>
        <w:r w:rsidR="00011407">
          <w:rPr>
            <w:webHidden/>
          </w:rPr>
          <w:fldChar w:fldCharType="end"/>
        </w:r>
      </w:hyperlink>
    </w:p>
    <w:p w14:paraId="187733ED" w14:textId="433F599B" w:rsidR="00011407" w:rsidRDefault="00C02639">
      <w:pPr>
        <w:pStyle w:val="Sadraj3"/>
        <w:tabs>
          <w:tab w:val="left" w:pos="1757"/>
        </w:tabs>
        <w:rPr>
          <w:rFonts w:asciiTheme="minorHAnsi" w:eastAsiaTheme="minorEastAsia" w:hAnsiTheme="minorHAnsi" w:cstheme="minorBidi"/>
          <w:sz w:val="22"/>
          <w:szCs w:val="22"/>
        </w:rPr>
      </w:pPr>
      <w:hyperlink w:anchor="_Toc36308945" w:history="1">
        <w:r w:rsidR="00011407" w:rsidRPr="00585AB2">
          <w:rPr>
            <w:rStyle w:val="Hiperveza"/>
          </w:rPr>
          <w:t>3.10.2.</w:t>
        </w:r>
        <w:r w:rsidR="00011407">
          <w:rPr>
            <w:rFonts w:asciiTheme="minorHAnsi" w:eastAsiaTheme="minorEastAsia" w:hAnsiTheme="minorHAnsi" w:cstheme="minorBidi"/>
            <w:sz w:val="22"/>
            <w:szCs w:val="22"/>
          </w:rPr>
          <w:tab/>
        </w:r>
        <w:r w:rsidR="00011407" w:rsidRPr="00585AB2">
          <w:rPr>
            <w:rStyle w:val="Hiperveza"/>
          </w:rPr>
          <w:t>Podnositelji tužbi</w:t>
        </w:r>
        <w:r w:rsidR="00011407">
          <w:rPr>
            <w:webHidden/>
          </w:rPr>
          <w:tab/>
        </w:r>
        <w:r w:rsidR="00011407">
          <w:rPr>
            <w:webHidden/>
          </w:rPr>
          <w:fldChar w:fldCharType="begin"/>
        </w:r>
        <w:r w:rsidR="00011407">
          <w:rPr>
            <w:webHidden/>
          </w:rPr>
          <w:instrText xml:space="preserve"> PAGEREF _Toc36308945 \h </w:instrText>
        </w:r>
        <w:r w:rsidR="00011407">
          <w:rPr>
            <w:webHidden/>
          </w:rPr>
        </w:r>
        <w:r w:rsidR="00011407">
          <w:rPr>
            <w:webHidden/>
          </w:rPr>
          <w:fldChar w:fldCharType="separate"/>
        </w:r>
        <w:r w:rsidR="00262992">
          <w:rPr>
            <w:webHidden/>
          </w:rPr>
          <w:t>33</w:t>
        </w:r>
        <w:r w:rsidR="00011407">
          <w:rPr>
            <w:webHidden/>
          </w:rPr>
          <w:fldChar w:fldCharType="end"/>
        </w:r>
      </w:hyperlink>
    </w:p>
    <w:p w14:paraId="300FCB50" w14:textId="48951FA0" w:rsidR="00011407" w:rsidRDefault="00C02639">
      <w:pPr>
        <w:pStyle w:val="Sadraj3"/>
        <w:tabs>
          <w:tab w:val="left" w:pos="1757"/>
        </w:tabs>
        <w:rPr>
          <w:rFonts w:asciiTheme="minorHAnsi" w:eastAsiaTheme="minorEastAsia" w:hAnsiTheme="minorHAnsi" w:cstheme="minorBidi"/>
          <w:sz w:val="22"/>
          <w:szCs w:val="22"/>
        </w:rPr>
      </w:pPr>
      <w:hyperlink w:anchor="_Toc36308946" w:history="1">
        <w:r w:rsidR="00011407" w:rsidRPr="00585AB2">
          <w:rPr>
            <w:rStyle w:val="Hiperveza"/>
          </w:rPr>
          <w:t>3.10.3.</w:t>
        </w:r>
        <w:r w:rsidR="00011407">
          <w:rPr>
            <w:rFonts w:asciiTheme="minorHAnsi" w:eastAsiaTheme="minorEastAsia" w:hAnsiTheme="minorHAnsi" w:cstheme="minorBidi"/>
            <w:sz w:val="22"/>
            <w:szCs w:val="22"/>
          </w:rPr>
          <w:tab/>
        </w:r>
        <w:r w:rsidR="00011407" w:rsidRPr="00585AB2">
          <w:rPr>
            <w:rStyle w:val="Hiperveza"/>
          </w:rPr>
          <w:t>Sudske odluke po tužbama</w:t>
        </w:r>
        <w:r w:rsidR="00011407">
          <w:rPr>
            <w:webHidden/>
          </w:rPr>
          <w:tab/>
        </w:r>
        <w:r w:rsidR="00011407">
          <w:rPr>
            <w:webHidden/>
          </w:rPr>
          <w:fldChar w:fldCharType="begin"/>
        </w:r>
        <w:r w:rsidR="00011407">
          <w:rPr>
            <w:webHidden/>
          </w:rPr>
          <w:instrText xml:space="preserve"> PAGEREF _Toc36308946 \h </w:instrText>
        </w:r>
        <w:r w:rsidR="00011407">
          <w:rPr>
            <w:webHidden/>
          </w:rPr>
        </w:r>
        <w:r w:rsidR="00011407">
          <w:rPr>
            <w:webHidden/>
          </w:rPr>
          <w:fldChar w:fldCharType="separate"/>
        </w:r>
        <w:r w:rsidR="00262992">
          <w:rPr>
            <w:webHidden/>
          </w:rPr>
          <w:t>34</w:t>
        </w:r>
        <w:r w:rsidR="00011407">
          <w:rPr>
            <w:webHidden/>
          </w:rPr>
          <w:fldChar w:fldCharType="end"/>
        </w:r>
      </w:hyperlink>
    </w:p>
    <w:p w14:paraId="68F78916" w14:textId="261EC4EB" w:rsidR="00011407" w:rsidRDefault="00C02639">
      <w:pPr>
        <w:pStyle w:val="Sadraj3"/>
        <w:tabs>
          <w:tab w:val="left" w:pos="1757"/>
        </w:tabs>
        <w:rPr>
          <w:rFonts w:asciiTheme="minorHAnsi" w:eastAsiaTheme="minorEastAsia" w:hAnsiTheme="minorHAnsi" w:cstheme="minorBidi"/>
          <w:sz w:val="22"/>
          <w:szCs w:val="22"/>
        </w:rPr>
      </w:pPr>
      <w:hyperlink w:anchor="_Toc36308947" w:history="1">
        <w:r w:rsidR="00011407" w:rsidRPr="00585AB2">
          <w:rPr>
            <w:rStyle w:val="Hiperveza"/>
          </w:rPr>
          <w:t>3.10.4.</w:t>
        </w:r>
        <w:r w:rsidR="00011407">
          <w:rPr>
            <w:rFonts w:asciiTheme="minorHAnsi" w:eastAsiaTheme="minorEastAsia" w:hAnsiTheme="minorHAnsi" w:cstheme="minorBidi"/>
            <w:sz w:val="22"/>
            <w:szCs w:val="22"/>
          </w:rPr>
          <w:tab/>
        </w:r>
        <w:r w:rsidR="00011407" w:rsidRPr="00585AB2">
          <w:rPr>
            <w:rStyle w:val="Hiperveza"/>
          </w:rPr>
          <w:t>Kretanje sudskih sporova u razdoblju 2013.-2019.</w:t>
        </w:r>
        <w:r w:rsidR="00011407">
          <w:rPr>
            <w:webHidden/>
          </w:rPr>
          <w:tab/>
        </w:r>
        <w:r w:rsidR="00011407">
          <w:rPr>
            <w:webHidden/>
          </w:rPr>
          <w:fldChar w:fldCharType="begin"/>
        </w:r>
        <w:r w:rsidR="00011407">
          <w:rPr>
            <w:webHidden/>
          </w:rPr>
          <w:instrText xml:space="preserve"> PAGEREF _Toc36308947 \h </w:instrText>
        </w:r>
        <w:r w:rsidR="00011407">
          <w:rPr>
            <w:webHidden/>
          </w:rPr>
        </w:r>
        <w:r w:rsidR="00011407">
          <w:rPr>
            <w:webHidden/>
          </w:rPr>
          <w:fldChar w:fldCharType="separate"/>
        </w:r>
        <w:r w:rsidR="00262992">
          <w:rPr>
            <w:webHidden/>
          </w:rPr>
          <w:t>38</w:t>
        </w:r>
        <w:r w:rsidR="00011407">
          <w:rPr>
            <w:webHidden/>
          </w:rPr>
          <w:fldChar w:fldCharType="end"/>
        </w:r>
      </w:hyperlink>
    </w:p>
    <w:p w14:paraId="7B5306B4" w14:textId="7EADBD21" w:rsidR="00011407" w:rsidRDefault="00C02639">
      <w:pPr>
        <w:pStyle w:val="Sadraj3"/>
        <w:tabs>
          <w:tab w:val="left" w:pos="1757"/>
        </w:tabs>
        <w:rPr>
          <w:rFonts w:asciiTheme="minorHAnsi" w:eastAsiaTheme="minorEastAsia" w:hAnsiTheme="minorHAnsi" w:cstheme="minorBidi"/>
          <w:sz w:val="22"/>
          <w:szCs w:val="22"/>
        </w:rPr>
      </w:pPr>
      <w:hyperlink w:anchor="_Toc36308948" w:history="1">
        <w:r w:rsidR="00011407" w:rsidRPr="00585AB2">
          <w:rPr>
            <w:rStyle w:val="Hiperveza"/>
          </w:rPr>
          <w:t>3.10.5.</w:t>
        </w:r>
        <w:r w:rsidR="00011407">
          <w:rPr>
            <w:rFonts w:asciiTheme="minorHAnsi" w:eastAsiaTheme="minorEastAsia" w:hAnsiTheme="minorHAnsi" w:cstheme="minorBidi"/>
            <w:sz w:val="22"/>
            <w:szCs w:val="22"/>
          </w:rPr>
          <w:tab/>
        </w:r>
        <w:r w:rsidR="00011407" w:rsidRPr="00585AB2">
          <w:rPr>
            <w:rStyle w:val="Hiperveza"/>
          </w:rPr>
          <w:t>Troškovi upravnog spora</w:t>
        </w:r>
        <w:r w:rsidR="00011407">
          <w:rPr>
            <w:webHidden/>
          </w:rPr>
          <w:tab/>
        </w:r>
        <w:r w:rsidR="00011407">
          <w:rPr>
            <w:webHidden/>
          </w:rPr>
          <w:fldChar w:fldCharType="begin"/>
        </w:r>
        <w:r w:rsidR="00011407">
          <w:rPr>
            <w:webHidden/>
          </w:rPr>
          <w:instrText xml:space="preserve"> PAGEREF _Toc36308948 \h </w:instrText>
        </w:r>
        <w:r w:rsidR="00011407">
          <w:rPr>
            <w:webHidden/>
          </w:rPr>
        </w:r>
        <w:r w:rsidR="00011407">
          <w:rPr>
            <w:webHidden/>
          </w:rPr>
          <w:fldChar w:fldCharType="separate"/>
        </w:r>
        <w:r w:rsidR="00262992">
          <w:rPr>
            <w:webHidden/>
          </w:rPr>
          <w:t>39</w:t>
        </w:r>
        <w:r w:rsidR="00011407">
          <w:rPr>
            <w:webHidden/>
          </w:rPr>
          <w:fldChar w:fldCharType="end"/>
        </w:r>
      </w:hyperlink>
    </w:p>
    <w:p w14:paraId="3B350EF1" w14:textId="5A7CE145" w:rsidR="00011407" w:rsidRDefault="00C02639">
      <w:pPr>
        <w:pStyle w:val="Sadraj2"/>
        <w:rPr>
          <w:rFonts w:asciiTheme="minorHAnsi" w:eastAsiaTheme="minorEastAsia" w:hAnsiTheme="minorHAnsi" w:cstheme="minorBidi"/>
          <w:sz w:val="22"/>
          <w:szCs w:val="22"/>
        </w:rPr>
      </w:pPr>
      <w:hyperlink w:anchor="_Toc36308949" w:history="1">
        <w:r w:rsidR="00011407" w:rsidRPr="00585AB2">
          <w:rPr>
            <w:rStyle w:val="Hiperveza"/>
          </w:rPr>
          <w:t>3.11.</w:t>
        </w:r>
        <w:r w:rsidR="00011407">
          <w:rPr>
            <w:rFonts w:asciiTheme="minorHAnsi" w:eastAsiaTheme="minorEastAsia" w:hAnsiTheme="minorHAnsi" w:cstheme="minorBidi"/>
            <w:sz w:val="22"/>
            <w:szCs w:val="22"/>
          </w:rPr>
          <w:tab/>
        </w:r>
        <w:r w:rsidR="00011407" w:rsidRPr="00585AB2">
          <w:rPr>
            <w:rStyle w:val="Hiperveza"/>
          </w:rPr>
          <w:t>Postupci pred Vrhovnim sudom Republike Hrvatske</w:t>
        </w:r>
        <w:r w:rsidR="00011407">
          <w:rPr>
            <w:webHidden/>
          </w:rPr>
          <w:tab/>
        </w:r>
        <w:r w:rsidR="00011407">
          <w:rPr>
            <w:webHidden/>
          </w:rPr>
          <w:fldChar w:fldCharType="begin"/>
        </w:r>
        <w:r w:rsidR="00011407">
          <w:rPr>
            <w:webHidden/>
          </w:rPr>
          <w:instrText xml:space="preserve"> PAGEREF _Toc36308949 \h </w:instrText>
        </w:r>
        <w:r w:rsidR="00011407">
          <w:rPr>
            <w:webHidden/>
          </w:rPr>
        </w:r>
        <w:r w:rsidR="00011407">
          <w:rPr>
            <w:webHidden/>
          </w:rPr>
          <w:fldChar w:fldCharType="separate"/>
        </w:r>
        <w:r w:rsidR="00262992">
          <w:rPr>
            <w:webHidden/>
          </w:rPr>
          <w:t>40</w:t>
        </w:r>
        <w:r w:rsidR="00011407">
          <w:rPr>
            <w:webHidden/>
          </w:rPr>
          <w:fldChar w:fldCharType="end"/>
        </w:r>
      </w:hyperlink>
    </w:p>
    <w:p w14:paraId="7D8B0E96" w14:textId="7FF159F1" w:rsidR="00011407" w:rsidRDefault="00C02639">
      <w:pPr>
        <w:pStyle w:val="Sadraj2"/>
        <w:rPr>
          <w:rFonts w:asciiTheme="minorHAnsi" w:eastAsiaTheme="minorEastAsia" w:hAnsiTheme="minorHAnsi" w:cstheme="minorBidi"/>
          <w:sz w:val="22"/>
          <w:szCs w:val="22"/>
        </w:rPr>
      </w:pPr>
      <w:hyperlink w:anchor="_Toc36308950" w:history="1">
        <w:r w:rsidR="00011407" w:rsidRPr="00585AB2">
          <w:rPr>
            <w:rStyle w:val="Hiperveza"/>
          </w:rPr>
          <w:t>3.12.</w:t>
        </w:r>
        <w:r w:rsidR="00011407">
          <w:rPr>
            <w:rFonts w:asciiTheme="minorHAnsi" w:eastAsiaTheme="minorEastAsia" w:hAnsiTheme="minorHAnsi" w:cstheme="minorBidi"/>
            <w:sz w:val="22"/>
            <w:szCs w:val="22"/>
          </w:rPr>
          <w:tab/>
        </w:r>
        <w:r w:rsidR="00011407" w:rsidRPr="00585AB2">
          <w:rPr>
            <w:rStyle w:val="Hiperveza"/>
          </w:rPr>
          <w:t>Ustavne tužbe</w:t>
        </w:r>
        <w:r w:rsidR="00011407">
          <w:rPr>
            <w:webHidden/>
          </w:rPr>
          <w:tab/>
        </w:r>
        <w:r w:rsidR="00011407">
          <w:rPr>
            <w:webHidden/>
          </w:rPr>
          <w:fldChar w:fldCharType="begin"/>
        </w:r>
        <w:r w:rsidR="00011407">
          <w:rPr>
            <w:webHidden/>
          </w:rPr>
          <w:instrText xml:space="preserve"> PAGEREF _Toc36308950 \h </w:instrText>
        </w:r>
        <w:r w:rsidR="00011407">
          <w:rPr>
            <w:webHidden/>
          </w:rPr>
        </w:r>
        <w:r w:rsidR="00011407">
          <w:rPr>
            <w:webHidden/>
          </w:rPr>
          <w:fldChar w:fldCharType="separate"/>
        </w:r>
        <w:r w:rsidR="00262992">
          <w:rPr>
            <w:webHidden/>
          </w:rPr>
          <w:t>40</w:t>
        </w:r>
        <w:r w:rsidR="00011407">
          <w:rPr>
            <w:webHidden/>
          </w:rPr>
          <w:fldChar w:fldCharType="end"/>
        </w:r>
      </w:hyperlink>
    </w:p>
    <w:p w14:paraId="5ABB84EE" w14:textId="51327FE5" w:rsidR="00011407" w:rsidRDefault="00C02639">
      <w:pPr>
        <w:pStyle w:val="Sadraj1"/>
        <w:rPr>
          <w:rFonts w:asciiTheme="minorHAnsi" w:eastAsiaTheme="minorEastAsia" w:hAnsiTheme="minorHAnsi" w:cstheme="minorBidi"/>
          <w:b w:val="0"/>
          <w:sz w:val="22"/>
          <w:szCs w:val="22"/>
        </w:rPr>
      </w:pPr>
      <w:hyperlink w:anchor="_Toc36308951" w:history="1">
        <w:r w:rsidR="00011407" w:rsidRPr="00585AB2">
          <w:rPr>
            <w:rStyle w:val="Hiperveza"/>
          </w:rPr>
          <w:t>4.</w:t>
        </w:r>
        <w:r w:rsidR="00011407">
          <w:rPr>
            <w:rFonts w:asciiTheme="minorHAnsi" w:eastAsiaTheme="minorEastAsia" w:hAnsiTheme="minorHAnsi" w:cstheme="minorBidi"/>
            <w:b w:val="0"/>
            <w:sz w:val="22"/>
            <w:szCs w:val="22"/>
          </w:rPr>
          <w:tab/>
        </w:r>
        <w:r w:rsidR="00011407" w:rsidRPr="00585AB2">
          <w:rPr>
            <w:rStyle w:val="Hiperveza"/>
          </w:rPr>
          <w:t>Predstavke korisnika na rad tijela javne vlasti</w:t>
        </w:r>
        <w:r w:rsidR="00011407">
          <w:rPr>
            <w:webHidden/>
          </w:rPr>
          <w:tab/>
        </w:r>
        <w:r w:rsidR="00011407">
          <w:rPr>
            <w:webHidden/>
          </w:rPr>
          <w:fldChar w:fldCharType="begin"/>
        </w:r>
        <w:r w:rsidR="00011407">
          <w:rPr>
            <w:webHidden/>
          </w:rPr>
          <w:instrText xml:space="preserve"> PAGEREF _Toc36308951 \h </w:instrText>
        </w:r>
        <w:r w:rsidR="00011407">
          <w:rPr>
            <w:webHidden/>
          </w:rPr>
        </w:r>
        <w:r w:rsidR="00011407">
          <w:rPr>
            <w:webHidden/>
          </w:rPr>
          <w:fldChar w:fldCharType="separate"/>
        </w:r>
        <w:r w:rsidR="00262992">
          <w:rPr>
            <w:webHidden/>
          </w:rPr>
          <w:t>40</w:t>
        </w:r>
        <w:r w:rsidR="00011407">
          <w:rPr>
            <w:webHidden/>
          </w:rPr>
          <w:fldChar w:fldCharType="end"/>
        </w:r>
      </w:hyperlink>
    </w:p>
    <w:p w14:paraId="66E782CA" w14:textId="477C5DBD" w:rsidR="00011407" w:rsidRDefault="00C02639">
      <w:pPr>
        <w:pStyle w:val="Sadraj1"/>
        <w:rPr>
          <w:rFonts w:asciiTheme="minorHAnsi" w:eastAsiaTheme="minorEastAsia" w:hAnsiTheme="minorHAnsi" w:cstheme="minorBidi"/>
          <w:b w:val="0"/>
          <w:sz w:val="22"/>
          <w:szCs w:val="22"/>
        </w:rPr>
      </w:pPr>
      <w:hyperlink w:anchor="_Toc36308952" w:history="1">
        <w:r w:rsidR="00011407" w:rsidRPr="00585AB2">
          <w:rPr>
            <w:rStyle w:val="Hiperveza"/>
            <w:lang w:eastAsia="en-US"/>
          </w:rPr>
          <w:t>5.</w:t>
        </w:r>
        <w:r w:rsidR="00011407">
          <w:rPr>
            <w:rFonts w:asciiTheme="minorHAnsi" w:eastAsiaTheme="minorEastAsia" w:hAnsiTheme="minorHAnsi" w:cstheme="minorBidi"/>
            <w:b w:val="0"/>
            <w:sz w:val="22"/>
            <w:szCs w:val="22"/>
          </w:rPr>
          <w:tab/>
        </w:r>
        <w:r w:rsidR="00011407" w:rsidRPr="00585AB2">
          <w:rPr>
            <w:rStyle w:val="Hiperveza"/>
          </w:rPr>
          <w:t>Inspekcijski</w:t>
        </w:r>
        <w:r w:rsidR="00011407" w:rsidRPr="00585AB2">
          <w:rPr>
            <w:rStyle w:val="Hiperveza"/>
            <w:lang w:eastAsia="en-US"/>
          </w:rPr>
          <w:t xml:space="preserve"> nadzor</w:t>
        </w:r>
        <w:r w:rsidR="00011407">
          <w:rPr>
            <w:webHidden/>
          </w:rPr>
          <w:tab/>
        </w:r>
        <w:r w:rsidR="00011407">
          <w:rPr>
            <w:webHidden/>
          </w:rPr>
          <w:fldChar w:fldCharType="begin"/>
        </w:r>
        <w:r w:rsidR="00011407">
          <w:rPr>
            <w:webHidden/>
          </w:rPr>
          <w:instrText xml:space="preserve"> PAGEREF _Toc36308952 \h </w:instrText>
        </w:r>
        <w:r w:rsidR="00011407">
          <w:rPr>
            <w:webHidden/>
          </w:rPr>
        </w:r>
        <w:r w:rsidR="00011407">
          <w:rPr>
            <w:webHidden/>
          </w:rPr>
          <w:fldChar w:fldCharType="separate"/>
        </w:r>
        <w:r w:rsidR="00262992">
          <w:rPr>
            <w:webHidden/>
          </w:rPr>
          <w:t>44</w:t>
        </w:r>
        <w:r w:rsidR="00011407">
          <w:rPr>
            <w:webHidden/>
          </w:rPr>
          <w:fldChar w:fldCharType="end"/>
        </w:r>
      </w:hyperlink>
    </w:p>
    <w:p w14:paraId="5A91618A" w14:textId="6A1BDEF9" w:rsidR="00011407" w:rsidRDefault="00C02639">
      <w:pPr>
        <w:pStyle w:val="Sadraj2"/>
        <w:rPr>
          <w:rFonts w:asciiTheme="minorHAnsi" w:eastAsiaTheme="minorEastAsia" w:hAnsiTheme="minorHAnsi" w:cstheme="minorBidi"/>
          <w:sz w:val="22"/>
          <w:szCs w:val="22"/>
        </w:rPr>
      </w:pPr>
      <w:hyperlink w:anchor="_Toc36308953" w:history="1">
        <w:r w:rsidR="00011407" w:rsidRPr="00585AB2">
          <w:rPr>
            <w:rStyle w:val="Hiperveza"/>
            <w:lang w:eastAsia="en-US"/>
          </w:rPr>
          <w:t>5.1.</w:t>
        </w:r>
        <w:r w:rsidR="00011407">
          <w:rPr>
            <w:rFonts w:asciiTheme="minorHAnsi" w:eastAsiaTheme="minorEastAsia" w:hAnsiTheme="minorHAnsi" w:cstheme="minorBidi"/>
            <w:sz w:val="22"/>
            <w:szCs w:val="22"/>
          </w:rPr>
          <w:tab/>
        </w:r>
        <w:r w:rsidR="00011407" w:rsidRPr="00585AB2">
          <w:rPr>
            <w:rStyle w:val="Hiperveza"/>
            <w:lang w:eastAsia="en-US"/>
          </w:rPr>
          <w:t>Neposredni inspekcijski nadzor</w:t>
        </w:r>
        <w:r w:rsidR="00011407">
          <w:rPr>
            <w:webHidden/>
          </w:rPr>
          <w:tab/>
        </w:r>
        <w:r w:rsidR="00011407">
          <w:rPr>
            <w:webHidden/>
          </w:rPr>
          <w:fldChar w:fldCharType="begin"/>
        </w:r>
        <w:r w:rsidR="00011407">
          <w:rPr>
            <w:webHidden/>
          </w:rPr>
          <w:instrText xml:space="preserve"> PAGEREF _Toc36308953 \h </w:instrText>
        </w:r>
        <w:r w:rsidR="00011407">
          <w:rPr>
            <w:webHidden/>
          </w:rPr>
        </w:r>
        <w:r w:rsidR="00011407">
          <w:rPr>
            <w:webHidden/>
          </w:rPr>
          <w:fldChar w:fldCharType="separate"/>
        </w:r>
        <w:r w:rsidR="00262992">
          <w:rPr>
            <w:webHidden/>
          </w:rPr>
          <w:t>44</w:t>
        </w:r>
        <w:r w:rsidR="00011407">
          <w:rPr>
            <w:webHidden/>
          </w:rPr>
          <w:fldChar w:fldCharType="end"/>
        </w:r>
      </w:hyperlink>
    </w:p>
    <w:p w14:paraId="1657C307" w14:textId="74435A8B" w:rsidR="00011407" w:rsidRDefault="00C02639">
      <w:pPr>
        <w:pStyle w:val="Sadraj2"/>
        <w:rPr>
          <w:rFonts w:asciiTheme="minorHAnsi" w:eastAsiaTheme="minorEastAsia" w:hAnsiTheme="minorHAnsi" w:cstheme="minorBidi"/>
          <w:sz w:val="22"/>
          <w:szCs w:val="22"/>
        </w:rPr>
      </w:pPr>
      <w:hyperlink w:anchor="_Toc36308954" w:history="1">
        <w:r w:rsidR="00011407" w:rsidRPr="00585AB2">
          <w:rPr>
            <w:rStyle w:val="Hiperveza"/>
            <w:lang w:eastAsia="en-US"/>
          </w:rPr>
          <w:t>5.2.</w:t>
        </w:r>
        <w:r w:rsidR="00011407">
          <w:rPr>
            <w:rFonts w:asciiTheme="minorHAnsi" w:eastAsiaTheme="minorEastAsia" w:hAnsiTheme="minorHAnsi" w:cstheme="minorBidi"/>
            <w:sz w:val="22"/>
            <w:szCs w:val="22"/>
          </w:rPr>
          <w:tab/>
        </w:r>
        <w:r w:rsidR="00011407" w:rsidRPr="00585AB2">
          <w:rPr>
            <w:rStyle w:val="Hiperveza"/>
            <w:lang w:eastAsia="en-US"/>
          </w:rPr>
          <w:t>Posredni inspekcijski nadzor</w:t>
        </w:r>
        <w:r w:rsidR="00011407">
          <w:rPr>
            <w:webHidden/>
          </w:rPr>
          <w:tab/>
        </w:r>
        <w:r w:rsidR="00011407">
          <w:rPr>
            <w:webHidden/>
          </w:rPr>
          <w:fldChar w:fldCharType="begin"/>
        </w:r>
        <w:r w:rsidR="00011407">
          <w:rPr>
            <w:webHidden/>
          </w:rPr>
          <w:instrText xml:space="preserve"> PAGEREF _Toc36308954 \h </w:instrText>
        </w:r>
        <w:r w:rsidR="00011407">
          <w:rPr>
            <w:webHidden/>
          </w:rPr>
        </w:r>
        <w:r w:rsidR="00011407">
          <w:rPr>
            <w:webHidden/>
          </w:rPr>
          <w:fldChar w:fldCharType="separate"/>
        </w:r>
        <w:r w:rsidR="00262992">
          <w:rPr>
            <w:webHidden/>
          </w:rPr>
          <w:t>47</w:t>
        </w:r>
        <w:r w:rsidR="00011407">
          <w:rPr>
            <w:webHidden/>
          </w:rPr>
          <w:fldChar w:fldCharType="end"/>
        </w:r>
      </w:hyperlink>
    </w:p>
    <w:p w14:paraId="3FE1997E" w14:textId="24A7ADEB" w:rsidR="00011407" w:rsidRDefault="00C02639">
      <w:pPr>
        <w:pStyle w:val="Sadraj1"/>
        <w:rPr>
          <w:rFonts w:asciiTheme="minorHAnsi" w:eastAsiaTheme="minorEastAsia" w:hAnsiTheme="minorHAnsi" w:cstheme="minorBidi"/>
          <w:b w:val="0"/>
          <w:sz w:val="22"/>
          <w:szCs w:val="22"/>
        </w:rPr>
      </w:pPr>
      <w:hyperlink w:anchor="_Toc36308955" w:history="1">
        <w:r w:rsidR="00011407" w:rsidRPr="00585AB2">
          <w:rPr>
            <w:rStyle w:val="Hiperveza"/>
          </w:rPr>
          <w:t>6.</w:t>
        </w:r>
        <w:r w:rsidR="00011407">
          <w:rPr>
            <w:rFonts w:asciiTheme="minorHAnsi" w:eastAsiaTheme="minorEastAsia" w:hAnsiTheme="minorHAnsi" w:cstheme="minorBidi"/>
            <w:b w:val="0"/>
            <w:sz w:val="22"/>
            <w:szCs w:val="22"/>
          </w:rPr>
          <w:tab/>
        </w:r>
        <w:r w:rsidR="00011407" w:rsidRPr="00585AB2">
          <w:rPr>
            <w:rStyle w:val="Hiperveza"/>
          </w:rPr>
          <w:t>Sankcije</w:t>
        </w:r>
        <w:r w:rsidR="00011407">
          <w:rPr>
            <w:webHidden/>
          </w:rPr>
          <w:tab/>
        </w:r>
        <w:r w:rsidR="00011407">
          <w:rPr>
            <w:webHidden/>
          </w:rPr>
          <w:fldChar w:fldCharType="begin"/>
        </w:r>
        <w:r w:rsidR="00011407">
          <w:rPr>
            <w:webHidden/>
          </w:rPr>
          <w:instrText xml:space="preserve"> PAGEREF _Toc36308955 \h </w:instrText>
        </w:r>
        <w:r w:rsidR="00011407">
          <w:rPr>
            <w:webHidden/>
          </w:rPr>
        </w:r>
        <w:r w:rsidR="00011407">
          <w:rPr>
            <w:webHidden/>
          </w:rPr>
          <w:fldChar w:fldCharType="separate"/>
        </w:r>
        <w:r w:rsidR="00262992">
          <w:rPr>
            <w:webHidden/>
          </w:rPr>
          <w:t>48</w:t>
        </w:r>
        <w:r w:rsidR="00011407">
          <w:rPr>
            <w:webHidden/>
          </w:rPr>
          <w:fldChar w:fldCharType="end"/>
        </w:r>
      </w:hyperlink>
    </w:p>
    <w:p w14:paraId="4CCA4838" w14:textId="3DC54C99" w:rsidR="00011407" w:rsidRDefault="00C02639">
      <w:pPr>
        <w:pStyle w:val="Sadraj2"/>
        <w:rPr>
          <w:rFonts w:asciiTheme="minorHAnsi" w:eastAsiaTheme="minorEastAsia" w:hAnsiTheme="minorHAnsi" w:cstheme="minorBidi"/>
          <w:sz w:val="22"/>
          <w:szCs w:val="22"/>
        </w:rPr>
      </w:pPr>
      <w:hyperlink w:anchor="_Toc36308956" w:history="1">
        <w:r w:rsidR="00011407" w:rsidRPr="00585AB2">
          <w:rPr>
            <w:rStyle w:val="Hiperveza"/>
          </w:rPr>
          <w:t>6.1.</w:t>
        </w:r>
        <w:r w:rsidR="00011407">
          <w:rPr>
            <w:rFonts w:asciiTheme="minorHAnsi" w:eastAsiaTheme="minorEastAsia" w:hAnsiTheme="minorHAnsi" w:cstheme="minorBidi"/>
            <w:sz w:val="22"/>
            <w:szCs w:val="22"/>
          </w:rPr>
          <w:tab/>
        </w:r>
        <w:r w:rsidR="00011407" w:rsidRPr="00585AB2">
          <w:rPr>
            <w:rStyle w:val="Hiperveza"/>
          </w:rPr>
          <w:t>Poslane obavijesti</w:t>
        </w:r>
        <w:r w:rsidR="00011407">
          <w:rPr>
            <w:webHidden/>
          </w:rPr>
          <w:tab/>
        </w:r>
        <w:r w:rsidR="00011407">
          <w:rPr>
            <w:webHidden/>
          </w:rPr>
          <w:fldChar w:fldCharType="begin"/>
        </w:r>
        <w:r w:rsidR="00011407">
          <w:rPr>
            <w:webHidden/>
          </w:rPr>
          <w:instrText xml:space="preserve"> PAGEREF _Toc36308956 \h </w:instrText>
        </w:r>
        <w:r w:rsidR="00011407">
          <w:rPr>
            <w:webHidden/>
          </w:rPr>
        </w:r>
        <w:r w:rsidR="00011407">
          <w:rPr>
            <w:webHidden/>
          </w:rPr>
          <w:fldChar w:fldCharType="separate"/>
        </w:r>
        <w:r w:rsidR="00262992">
          <w:rPr>
            <w:webHidden/>
          </w:rPr>
          <w:t>49</w:t>
        </w:r>
        <w:r w:rsidR="00011407">
          <w:rPr>
            <w:webHidden/>
          </w:rPr>
          <w:fldChar w:fldCharType="end"/>
        </w:r>
      </w:hyperlink>
    </w:p>
    <w:p w14:paraId="07417732" w14:textId="2506C842" w:rsidR="00011407" w:rsidRDefault="00C02639">
      <w:pPr>
        <w:pStyle w:val="Sadraj2"/>
        <w:rPr>
          <w:rFonts w:asciiTheme="minorHAnsi" w:eastAsiaTheme="minorEastAsia" w:hAnsiTheme="minorHAnsi" w:cstheme="minorBidi"/>
          <w:sz w:val="22"/>
          <w:szCs w:val="22"/>
        </w:rPr>
      </w:pPr>
      <w:hyperlink w:anchor="_Toc36308957" w:history="1">
        <w:r w:rsidR="00011407" w:rsidRPr="00585AB2">
          <w:rPr>
            <w:rStyle w:val="Hiperveza"/>
          </w:rPr>
          <w:t>6.2.</w:t>
        </w:r>
        <w:r w:rsidR="00011407">
          <w:rPr>
            <w:rFonts w:asciiTheme="minorHAnsi" w:eastAsiaTheme="minorEastAsia" w:hAnsiTheme="minorHAnsi" w:cstheme="minorBidi"/>
            <w:sz w:val="22"/>
            <w:szCs w:val="22"/>
          </w:rPr>
          <w:tab/>
        </w:r>
        <w:r w:rsidR="00011407" w:rsidRPr="00585AB2">
          <w:rPr>
            <w:rStyle w:val="Hiperveza"/>
          </w:rPr>
          <w:t>Izdani prekršajni nalozi i podneseni optužni prijedlozi</w:t>
        </w:r>
        <w:r w:rsidR="00011407">
          <w:rPr>
            <w:webHidden/>
          </w:rPr>
          <w:tab/>
        </w:r>
        <w:r w:rsidR="00011407">
          <w:rPr>
            <w:webHidden/>
          </w:rPr>
          <w:fldChar w:fldCharType="begin"/>
        </w:r>
        <w:r w:rsidR="00011407">
          <w:rPr>
            <w:webHidden/>
          </w:rPr>
          <w:instrText xml:space="preserve"> PAGEREF _Toc36308957 \h </w:instrText>
        </w:r>
        <w:r w:rsidR="00011407">
          <w:rPr>
            <w:webHidden/>
          </w:rPr>
        </w:r>
        <w:r w:rsidR="00011407">
          <w:rPr>
            <w:webHidden/>
          </w:rPr>
          <w:fldChar w:fldCharType="separate"/>
        </w:r>
        <w:r w:rsidR="00262992">
          <w:rPr>
            <w:webHidden/>
          </w:rPr>
          <w:t>49</w:t>
        </w:r>
        <w:r w:rsidR="00011407">
          <w:rPr>
            <w:webHidden/>
          </w:rPr>
          <w:fldChar w:fldCharType="end"/>
        </w:r>
      </w:hyperlink>
    </w:p>
    <w:p w14:paraId="75866D63" w14:textId="1E69753F" w:rsidR="00011407" w:rsidRDefault="00C02639">
      <w:pPr>
        <w:pStyle w:val="Sadraj2"/>
        <w:rPr>
          <w:rFonts w:asciiTheme="minorHAnsi" w:eastAsiaTheme="minorEastAsia" w:hAnsiTheme="minorHAnsi" w:cstheme="minorBidi"/>
          <w:sz w:val="22"/>
          <w:szCs w:val="22"/>
        </w:rPr>
      </w:pPr>
      <w:hyperlink w:anchor="_Toc36308958" w:history="1">
        <w:r w:rsidR="00011407" w:rsidRPr="00585AB2">
          <w:rPr>
            <w:rStyle w:val="Hiperveza"/>
          </w:rPr>
          <w:t>6.3.</w:t>
        </w:r>
        <w:r w:rsidR="00011407">
          <w:rPr>
            <w:rFonts w:asciiTheme="minorHAnsi" w:eastAsiaTheme="minorEastAsia" w:hAnsiTheme="minorHAnsi" w:cstheme="minorBidi"/>
            <w:sz w:val="22"/>
            <w:szCs w:val="22"/>
          </w:rPr>
          <w:tab/>
        </w:r>
        <w:r w:rsidR="00011407" w:rsidRPr="00585AB2">
          <w:rPr>
            <w:rStyle w:val="Hiperveza"/>
          </w:rPr>
          <w:t>Odlučivanje prekršajnih sudova</w:t>
        </w:r>
        <w:r w:rsidR="00011407">
          <w:rPr>
            <w:webHidden/>
          </w:rPr>
          <w:tab/>
        </w:r>
        <w:r w:rsidR="00011407">
          <w:rPr>
            <w:webHidden/>
          </w:rPr>
          <w:fldChar w:fldCharType="begin"/>
        </w:r>
        <w:r w:rsidR="00011407">
          <w:rPr>
            <w:webHidden/>
          </w:rPr>
          <w:instrText xml:space="preserve"> PAGEREF _Toc36308958 \h </w:instrText>
        </w:r>
        <w:r w:rsidR="00011407">
          <w:rPr>
            <w:webHidden/>
          </w:rPr>
        </w:r>
        <w:r w:rsidR="00011407">
          <w:rPr>
            <w:webHidden/>
          </w:rPr>
          <w:fldChar w:fldCharType="separate"/>
        </w:r>
        <w:r w:rsidR="00262992">
          <w:rPr>
            <w:webHidden/>
          </w:rPr>
          <w:t>50</w:t>
        </w:r>
        <w:r w:rsidR="00011407">
          <w:rPr>
            <w:webHidden/>
          </w:rPr>
          <w:fldChar w:fldCharType="end"/>
        </w:r>
      </w:hyperlink>
    </w:p>
    <w:p w14:paraId="411F5FF5" w14:textId="45B0EFAB" w:rsidR="00011407" w:rsidRDefault="00C02639">
      <w:pPr>
        <w:pStyle w:val="Sadraj2"/>
        <w:rPr>
          <w:rFonts w:asciiTheme="minorHAnsi" w:eastAsiaTheme="minorEastAsia" w:hAnsiTheme="minorHAnsi" w:cstheme="minorBidi"/>
          <w:sz w:val="22"/>
          <w:szCs w:val="22"/>
        </w:rPr>
      </w:pPr>
      <w:hyperlink w:anchor="_Toc36308959" w:history="1">
        <w:r w:rsidR="00011407" w:rsidRPr="00585AB2">
          <w:rPr>
            <w:rStyle w:val="Hiperveza"/>
          </w:rPr>
          <w:t>6.4.</w:t>
        </w:r>
        <w:r w:rsidR="00011407">
          <w:rPr>
            <w:rFonts w:asciiTheme="minorHAnsi" w:eastAsiaTheme="minorEastAsia" w:hAnsiTheme="minorHAnsi" w:cstheme="minorBidi"/>
            <w:sz w:val="22"/>
            <w:szCs w:val="22"/>
          </w:rPr>
          <w:tab/>
        </w:r>
        <w:r w:rsidR="00011407" w:rsidRPr="00585AB2">
          <w:rPr>
            <w:rStyle w:val="Hiperveza"/>
          </w:rPr>
          <w:t>Učinkovitost i doseg sankcioniranja</w:t>
        </w:r>
        <w:r w:rsidR="00011407">
          <w:rPr>
            <w:webHidden/>
          </w:rPr>
          <w:tab/>
        </w:r>
        <w:r w:rsidR="00011407">
          <w:rPr>
            <w:webHidden/>
          </w:rPr>
          <w:fldChar w:fldCharType="begin"/>
        </w:r>
        <w:r w:rsidR="00011407">
          <w:rPr>
            <w:webHidden/>
          </w:rPr>
          <w:instrText xml:space="preserve"> PAGEREF _Toc36308959 \h </w:instrText>
        </w:r>
        <w:r w:rsidR="00011407">
          <w:rPr>
            <w:webHidden/>
          </w:rPr>
        </w:r>
        <w:r w:rsidR="00011407">
          <w:rPr>
            <w:webHidden/>
          </w:rPr>
          <w:fldChar w:fldCharType="separate"/>
        </w:r>
        <w:r w:rsidR="00262992">
          <w:rPr>
            <w:webHidden/>
          </w:rPr>
          <w:t>51</w:t>
        </w:r>
        <w:r w:rsidR="00011407">
          <w:rPr>
            <w:webHidden/>
          </w:rPr>
          <w:fldChar w:fldCharType="end"/>
        </w:r>
      </w:hyperlink>
    </w:p>
    <w:p w14:paraId="6BB1108B" w14:textId="580764F6" w:rsidR="00011407" w:rsidRDefault="00C02639">
      <w:pPr>
        <w:pStyle w:val="Sadraj1"/>
        <w:rPr>
          <w:rFonts w:asciiTheme="minorHAnsi" w:eastAsiaTheme="minorEastAsia" w:hAnsiTheme="minorHAnsi" w:cstheme="minorBidi"/>
          <w:b w:val="0"/>
          <w:sz w:val="22"/>
          <w:szCs w:val="22"/>
        </w:rPr>
      </w:pPr>
      <w:hyperlink w:anchor="_Toc36308960" w:history="1">
        <w:r w:rsidR="00011407" w:rsidRPr="00585AB2">
          <w:rPr>
            <w:rStyle w:val="Hiperveza"/>
          </w:rPr>
          <w:t>B) PRAĆENJE I PROMICANJE PRAVA NA PRISTUP INFORMACIJAMA</w:t>
        </w:r>
        <w:r w:rsidR="00011407">
          <w:rPr>
            <w:webHidden/>
          </w:rPr>
          <w:tab/>
        </w:r>
        <w:r w:rsidR="00011407">
          <w:rPr>
            <w:webHidden/>
          </w:rPr>
          <w:fldChar w:fldCharType="begin"/>
        </w:r>
        <w:r w:rsidR="00011407">
          <w:rPr>
            <w:webHidden/>
          </w:rPr>
          <w:instrText xml:space="preserve"> PAGEREF _Toc36308960 \h </w:instrText>
        </w:r>
        <w:r w:rsidR="00011407">
          <w:rPr>
            <w:webHidden/>
          </w:rPr>
        </w:r>
        <w:r w:rsidR="00011407">
          <w:rPr>
            <w:webHidden/>
          </w:rPr>
          <w:fldChar w:fldCharType="separate"/>
        </w:r>
        <w:r w:rsidR="00262992">
          <w:rPr>
            <w:webHidden/>
          </w:rPr>
          <w:t>53</w:t>
        </w:r>
        <w:r w:rsidR="00011407">
          <w:rPr>
            <w:webHidden/>
          </w:rPr>
          <w:fldChar w:fldCharType="end"/>
        </w:r>
      </w:hyperlink>
    </w:p>
    <w:p w14:paraId="02D49CD6" w14:textId="0B96A5F0" w:rsidR="00011407" w:rsidRDefault="00C02639">
      <w:pPr>
        <w:pStyle w:val="Sadraj1"/>
        <w:rPr>
          <w:rFonts w:asciiTheme="minorHAnsi" w:eastAsiaTheme="minorEastAsia" w:hAnsiTheme="minorHAnsi" w:cstheme="minorBidi"/>
          <w:b w:val="0"/>
          <w:sz w:val="22"/>
          <w:szCs w:val="22"/>
        </w:rPr>
      </w:pPr>
      <w:hyperlink w:anchor="_Toc36308961" w:history="1">
        <w:r w:rsidR="00011407" w:rsidRPr="00585AB2">
          <w:rPr>
            <w:rStyle w:val="Hiperveza"/>
          </w:rPr>
          <w:t>7.</w:t>
        </w:r>
        <w:r w:rsidR="00011407">
          <w:rPr>
            <w:rFonts w:asciiTheme="minorHAnsi" w:eastAsiaTheme="minorEastAsia" w:hAnsiTheme="minorHAnsi" w:cstheme="minorBidi"/>
            <w:b w:val="0"/>
            <w:sz w:val="22"/>
            <w:szCs w:val="22"/>
          </w:rPr>
          <w:tab/>
        </w:r>
        <w:r w:rsidR="00011407" w:rsidRPr="00585AB2">
          <w:rPr>
            <w:rStyle w:val="Hiperveza"/>
          </w:rPr>
          <w:t>Proaktivna objava informacija i javnost rada tijela javne vlasti</w:t>
        </w:r>
        <w:r w:rsidR="00011407">
          <w:rPr>
            <w:webHidden/>
          </w:rPr>
          <w:tab/>
        </w:r>
        <w:r w:rsidR="00011407">
          <w:rPr>
            <w:webHidden/>
          </w:rPr>
          <w:fldChar w:fldCharType="begin"/>
        </w:r>
        <w:r w:rsidR="00011407">
          <w:rPr>
            <w:webHidden/>
          </w:rPr>
          <w:instrText xml:space="preserve"> PAGEREF _Toc36308961 \h </w:instrText>
        </w:r>
        <w:r w:rsidR="00011407">
          <w:rPr>
            <w:webHidden/>
          </w:rPr>
        </w:r>
        <w:r w:rsidR="00011407">
          <w:rPr>
            <w:webHidden/>
          </w:rPr>
          <w:fldChar w:fldCharType="separate"/>
        </w:r>
        <w:r w:rsidR="00262992">
          <w:rPr>
            <w:webHidden/>
          </w:rPr>
          <w:t>53</w:t>
        </w:r>
        <w:r w:rsidR="00011407">
          <w:rPr>
            <w:webHidden/>
          </w:rPr>
          <w:fldChar w:fldCharType="end"/>
        </w:r>
      </w:hyperlink>
    </w:p>
    <w:p w14:paraId="3191666E" w14:textId="22FD255A" w:rsidR="00011407" w:rsidRDefault="00C02639">
      <w:pPr>
        <w:pStyle w:val="Sadraj2"/>
        <w:rPr>
          <w:rFonts w:asciiTheme="minorHAnsi" w:eastAsiaTheme="minorEastAsia" w:hAnsiTheme="minorHAnsi" w:cstheme="minorBidi"/>
          <w:sz w:val="22"/>
          <w:szCs w:val="22"/>
        </w:rPr>
      </w:pPr>
      <w:hyperlink w:anchor="_Toc36308962" w:history="1">
        <w:r w:rsidR="00011407" w:rsidRPr="00585AB2">
          <w:rPr>
            <w:rStyle w:val="Hiperveza"/>
          </w:rPr>
          <w:t>7.1.</w:t>
        </w:r>
        <w:r w:rsidR="00011407">
          <w:rPr>
            <w:rFonts w:asciiTheme="minorHAnsi" w:eastAsiaTheme="minorEastAsia" w:hAnsiTheme="minorHAnsi" w:cstheme="minorBidi"/>
            <w:sz w:val="22"/>
            <w:szCs w:val="22"/>
          </w:rPr>
          <w:tab/>
        </w:r>
        <w:r w:rsidR="00011407" w:rsidRPr="00585AB2">
          <w:rPr>
            <w:rStyle w:val="Hiperveza"/>
          </w:rPr>
          <w:t>Proaktivna objava informacija</w:t>
        </w:r>
        <w:r w:rsidR="00011407">
          <w:rPr>
            <w:webHidden/>
          </w:rPr>
          <w:tab/>
        </w:r>
        <w:r w:rsidR="00011407">
          <w:rPr>
            <w:webHidden/>
          </w:rPr>
          <w:fldChar w:fldCharType="begin"/>
        </w:r>
        <w:r w:rsidR="00011407">
          <w:rPr>
            <w:webHidden/>
          </w:rPr>
          <w:instrText xml:space="preserve"> PAGEREF _Toc36308962 \h </w:instrText>
        </w:r>
        <w:r w:rsidR="00011407">
          <w:rPr>
            <w:webHidden/>
          </w:rPr>
        </w:r>
        <w:r w:rsidR="00011407">
          <w:rPr>
            <w:webHidden/>
          </w:rPr>
          <w:fldChar w:fldCharType="separate"/>
        </w:r>
        <w:r w:rsidR="00262992">
          <w:rPr>
            <w:webHidden/>
          </w:rPr>
          <w:t>53</w:t>
        </w:r>
        <w:r w:rsidR="00011407">
          <w:rPr>
            <w:webHidden/>
          </w:rPr>
          <w:fldChar w:fldCharType="end"/>
        </w:r>
      </w:hyperlink>
    </w:p>
    <w:p w14:paraId="321355A4" w14:textId="518A26F8" w:rsidR="00011407" w:rsidRDefault="00C02639">
      <w:pPr>
        <w:pStyle w:val="Sadraj2"/>
        <w:rPr>
          <w:rFonts w:asciiTheme="minorHAnsi" w:eastAsiaTheme="minorEastAsia" w:hAnsiTheme="minorHAnsi" w:cstheme="minorBidi"/>
          <w:sz w:val="22"/>
          <w:szCs w:val="22"/>
        </w:rPr>
      </w:pPr>
      <w:hyperlink w:anchor="_Toc36308963" w:history="1">
        <w:r w:rsidR="00011407" w:rsidRPr="00585AB2">
          <w:rPr>
            <w:rStyle w:val="Hiperveza"/>
          </w:rPr>
          <w:t>7.2.</w:t>
        </w:r>
        <w:r w:rsidR="00011407">
          <w:rPr>
            <w:rFonts w:asciiTheme="minorHAnsi" w:eastAsiaTheme="minorEastAsia" w:hAnsiTheme="minorHAnsi" w:cstheme="minorBidi"/>
            <w:sz w:val="22"/>
            <w:szCs w:val="22"/>
          </w:rPr>
          <w:tab/>
        </w:r>
        <w:r w:rsidR="00011407" w:rsidRPr="00585AB2">
          <w:rPr>
            <w:rStyle w:val="Hiperveza"/>
          </w:rPr>
          <w:t>Javnost rada kolegijalnih tijela</w:t>
        </w:r>
        <w:r w:rsidR="00011407">
          <w:rPr>
            <w:webHidden/>
          </w:rPr>
          <w:tab/>
        </w:r>
        <w:r w:rsidR="00011407">
          <w:rPr>
            <w:webHidden/>
          </w:rPr>
          <w:fldChar w:fldCharType="begin"/>
        </w:r>
        <w:r w:rsidR="00011407">
          <w:rPr>
            <w:webHidden/>
          </w:rPr>
          <w:instrText xml:space="preserve"> PAGEREF _Toc36308963 \h </w:instrText>
        </w:r>
        <w:r w:rsidR="00011407">
          <w:rPr>
            <w:webHidden/>
          </w:rPr>
        </w:r>
        <w:r w:rsidR="00011407">
          <w:rPr>
            <w:webHidden/>
          </w:rPr>
          <w:fldChar w:fldCharType="separate"/>
        </w:r>
        <w:r w:rsidR="00262992">
          <w:rPr>
            <w:webHidden/>
          </w:rPr>
          <w:t>54</w:t>
        </w:r>
        <w:r w:rsidR="00011407">
          <w:rPr>
            <w:webHidden/>
          </w:rPr>
          <w:fldChar w:fldCharType="end"/>
        </w:r>
      </w:hyperlink>
    </w:p>
    <w:p w14:paraId="2AC95097" w14:textId="4A2D8323" w:rsidR="00011407" w:rsidRDefault="00C02639">
      <w:pPr>
        <w:pStyle w:val="Sadraj2"/>
        <w:rPr>
          <w:rFonts w:asciiTheme="minorHAnsi" w:eastAsiaTheme="minorEastAsia" w:hAnsiTheme="minorHAnsi" w:cstheme="minorBidi"/>
          <w:sz w:val="22"/>
          <w:szCs w:val="22"/>
        </w:rPr>
      </w:pPr>
      <w:hyperlink w:anchor="_Toc36308964" w:history="1">
        <w:r w:rsidR="00011407" w:rsidRPr="00585AB2">
          <w:rPr>
            <w:rStyle w:val="Hiperveza"/>
          </w:rPr>
          <w:t>7.3.</w:t>
        </w:r>
        <w:r w:rsidR="00011407">
          <w:rPr>
            <w:rFonts w:asciiTheme="minorHAnsi" w:eastAsiaTheme="minorEastAsia" w:hAnsiTheme="minorHAnsi" w:cstheme="minorBidi"/>
            <w:sz w:val="22"/>
            <w:szCs w:val="22"/>
          </w:rPr>
          <w:tab/>
        </w:r>
        <w:r w:rsidR="00011407" w:rsidRPr="00585AB2">
          <w:rPr>
            <w:rStyle w:val="Hiperveza"/>
          </w:rPr>
          <w:t>Proaktivna objava i javnost rada - podaci iz dostavljenih izvješća tijela javne vlasti</w:t>
        </w:r>
        <w:r w:rsidR="00011407">
          <w:rPr>
            <w:webHidden/>
          </w:rPr>
          <w:tab/>
        </w:r>
        <w:r w:rsidR="00011407">
          <w:rPr>
            <w:webHidden/>
          </w:rPr>
          <w:fldChar w:fldCharType="begin"/>
        </w:r>
        <w:r w:rsidR="00011407">
          <w:rPr>
            <w:webHidden/>
          </w:rPr>
          <w:instrText xml:space="preserve"> PAGEREF _Toc36308964 \h </w:instrText>
        </w:r>
        <w:r w:rsidR="00011407">
          <w:rPr>
            <w:webHidden/>
          </w:rPr>
        </w:r>
        <w:r w:rsidR="00011407">
          <w:rPr>
            <w:webHidden/>
          </w:rPr>
          <w:fldChar w:fldCharType="separate"/>
        </w:r>
        <w:r w:rsidR="00262992">
          <w:rPr>
            <w:webHidden/>
          </w:rPr>
          <w:t>55</w:t>
        </w:r>
        <w:r w:rsidR="00011407">
          <w:rPr>
            <w:webHidden/>
          </w:rPr>
          <w:fldChar w:fldCharType="end"/>
        </w:r>
      </w:hyperlink>
    </w:p>
    <w:p w14:paraId="08258CCC" w14:textId="358982D1" w:rsidR="00011407" w:rsidRDefault="00C02639">
      <w:pPr>
        <w:pStyle w:val="Sadraj3"/>
        <w:tabs>
          <w:tab w:val="left" w:pos="1757"/>
        </w:tabs>
        <w:rPr>
          <w:rFonts w:asciiTheme="minorHAnsi" w:eastAsiaTheme="minorEastAsia" w:hAnsiTheme="minorHAnsi" w:cstheme="minorBidi"/>
          <w:sz w:val="22"/>
          <w:szCs w:val="22"/>
        </w:rPr>
      </w:pPr>
      <w:hyperlink w:anchor="_Toc36308965" w:history="1">
        <w:r w:rsidR="00011407" w:rsidRPr="00585AB2">
          <w:rPr>
            <w:rStyle w:val="Hiperveza"/>
          </w:rPr>
          <w:t>7.3.1.</w:t>
        </w:r>
        <w:r w:rsidR="00011407">
          <w:rPr>
            <w:rFonts w:asciiTheme="minorHAnsi" w:eastAsiaTheme="minorEastAsia" w:hAnsiTheme="minorHAnsi" w:cstheme="minorBidi"/>
            <w:sz w:val="22"/>
            <w:szCs w:val="22"/>
          </w:rPr>
          <w:tab/>
        </w:r>
        <w:r w:rsidR="00011407" w:rsidRPr="00585AB2">
          <w:rPr>
            <w:rStyle w:val="Hiperveza"/>
          </w:rPr>
          <w:t>Propisi, opći akti i odluke</w:t>
        </w:r>
        <w:r w:rsidR="00011407">
          <w:rPr>
            <w:webHidden/>
          </w:rPr>
          <w:tab/>
        </w:r>
        <w:r w:rsidR="00011407">
          <w:rPr>
            <w:webHidden/>
          </w:rPr>
          <w:fldChar w:fldCharType="begin"/>
        </w:r>
        <w:r w:rsidR="00011407">
          <w:rPr>
            <w:webHidden/>
          </w:rPr>
          <w:instrText xml:space="preserve"> PAGEREF _Toc36308965 \h </w:instrText>
        </w:r>
        <w:r w:rsidR="00011407">
          <w:rPr>
            <w:webHidden/>
          </w:rPr>
        </w:r>
        <w:r w:rsidR="00011407">
          <w:rPr>
            <w:webHidden/>
          </w:rPr>
          <w:fldChar w:fldCharType="separate"/>
        </w:r>
        <w:r w:rsidR="00262992">
          <w:rPr>
            <w:webHidden/>
          </w:rPr>
          <w:t>55</w:t>
        </w:r>
        <w:r w:rsidR="00011407">
          <w:rPr>
            <w:webHidden/>
          </w:rPr>
          <w:fldChar w:fldCharType="end"/>
        </w:r>
      </w:hyperlink>
    </w:p>
    <w:p w14:paraId="23971CB8" w14:textId="1560782E" w:rsidR="00011407" w:rsidRDefault="00C02639">
      <w:pPr>
        <w:pStyle w:val="Sadraj3"/>
        <w:tabs>
          <w:tab w:val="left" w:pos="1757"/>
        </w:tabs>
        <w:rPr>
          <w:rFonts w:asciiTheme="minorHAnsi" w:eastAsiaTheme="minorEastAsia" w:hAnsiTheme="minorHAnsi" w:cstheme="minorBidi"/>
          <w:sz w:val="22"/>
          <w:szCs w:val="22"/>
        </w:rPr>
      </w:pPr>
      <w:hyperlink w:anchor="_Toc36308966" w:history="1">
        <w:r w:rsidR="00011407" w:rsidRPr="00585AB2">
          <w:rPr>
            <w:rStyle w:val="Hiperveza"/>
          </w:rPr>
          <w:t>7.3.2.</w:t>
        </w:r>
        <w:r w:rsidR="00011407">
          <w:rPr>
            <w:rFonts w:asciiTheme="minorHAnsi" w:eastAsiaTheme="minorEastAsia" w:hAnsiTheme="minorHAnsi" w:cstheme="minorBidi"/>
            <w:sz w:val="22"/>
            <w:szCs w:val="22"/>
          </w:rPr>
          <w:tab/>
        </w:r>
        <w:r w:rsidR="00011407" w:rsidRPr="00585AB2">
          <w:rPr>
            <w:rStyle w:val="Hiperveza"/>
          </w:rPr>
          <w:t>Planiranje i izvještavanje</w:t>
        </w:r>
        <w:r w:rsidR="00011407">
          <w:rPr>
            <w:webHidden/>
          </w:rPr>
          <w:tab/>
        </w:r>
        <w:r w:rsidR="00011407">
          <w:rPr>
            <w:webHidden/>
          </w:rPr>
          <w:fldChar w:fldCharType="begin"/>
        </w:r>
        <w:r w:rsidR="00011407">
          <w:rPr>
            <w:webHidden/>
          </w:rPr>
          <w:instrText xml:space="preserve"> PAGEREF _Toc36308966 \h </w:instrText>
        </w:r>
        <w:r w:rsidR="00011407">
          <w:rPr>
            <w:webHidden/>
          </w:rPr>
        </w:r>
        <w:r w:rsidR="00011407">
          <w:rPr>
            <w:webHidden/>
          </w:rPr>
          <w:fldChar w:fldCharType="separate"/>
        </w:r>
        <w:r w:rsidR="00262992">
          <w:rPr>
            <w:webHidden/>
          </w:rPr>
          <w:t>56</w:t>
        </w:r>
        <w:r w:rsidR="00011407">
          <w:rPr>
            <w:webHidden/>
          </w:rPr>
          <w:fldChar w:fldCharType="end"/>
        </w:r>
      </w:hyperlink>
    </w:p>
    <w:p w14:paraId="77357191" w14:textId="62B6B781" w:rsidR="00011407" w:rsidRDefault="00C02639">
      <w:pPr>
        <w:pStyle w:val="Sadraj3"/>
        <w:tabs>
          <w:tab w:val="left" w:pos="1757"/>
        </w:tabs>
        <w:rPr>
          <w:rFonts w:asciiTheme="minorHAnsi" w:eastAsiaTheme="minorEastAsia" w:hAnsiTheme="minorHAnsi" w:cstheme="minorBidi"/>
          <w:sz w:val="22"/>
          <w:szCs w:val="22"/>
        </w:rPr>
      </w:pPr>
      <w:hyperlink w:anchor="_Toc36308967" w:history="1">
        <w:r w:rsidR="00011407" w:rsidRPr="00585AB2">
          <w:rPr>
            <w:rStyle w:val="Hiperveza"/>
          </w:rPr>
          <w:t>7.3.3.</w:t>
        </w:r>
        <w:r w:rsidR="00011407">
          <w:rPr>
            <w:rFonts w:asciiTheme="minorHAnsi" w:eastAsiaTheme="minorEastAsia" w:hAnsiTheme="minorHAnsi" w:cstheme="minorBidi"/>
            <w:sz w:val="22"/>
            <w:szCs w:val="22"/>
          </w:rPr>
          <w:tab/>
        </w:r>
        <w:r w:rsidR="00011407" w:rsidRPr="00585AB2">
          <w:rPr>
            <w:rStyle w:val="Hiperveza"/>
          </w:rPr>
          <w:t>Organizacija i rad</w:t>
        </w:r>
        <w:r w:rsidR="00011407">
          <w:rPr>
            <w:webHidden/>
          </w:rPr>
          <w:tab/>
        </w:r>
        <w:r w:rsidR="00011407">
          <w:rPr>
            <w:webHidden/>
          </w:rPr>
          <w:fldChar w:fldCharType="begin"/>
        </w:r>
        <w:r w:rsidR="00011407">
          <w:rPr>
            <w:webHidden/>
          </w:rPr>
          <w:instrText xml:space="preserve"> PAGEREF _Toc36308967 \h </w:instrText>
        </w:r>
        <w:r w:rsidR="00011407">
          <w:rPr>
            <w:webHidden/>
          </w:rPr>
        </w:r>
        <w:r w:rsidR="00011407">
          <w:rPr>
            <w:webHidden/>
          </w:rPr>
          <w:fldChar w:fldCharType="separate"/>
        </w:r>
        <w:r w:rsidR="00262992">
          <w:rPr>
            <w:webHidden/>
          </w:rPr>
          <w:t>57</w:t>
        </w:r>
        <w:r w:rsidR="00011407">
          <w:rPr>
            <w:webHidden/>
          </w:rPr>
          <w:fldChar w:fldCharType="end"/>
        </w:r>
      </w:hyperlink>
    </w:p>
    <w:p w14:paraId="5852C6C1" w14:textId="2FEC05A5" w:rsidR="00011407" w:rsidRDefault="00C02639">
      <w:pPr>
        <w:pStyle w:val="Sadraj3"/>
        <w:tabs>
          <w:tab w:val="left" w:pos="1757"/>
        </w:tabs>
        <w:rPr>
          <w:rFonts w:asciiTheme="minorHAnsi" w:eastAsiaTheme="minorEastAsia" w:hAnsiTheme="minorHAnsi" w:cstheme="minorBidi"/>
          <w:sz w:val="22"/>
          <w:szCs w:val="22"/>
        </w:rPr>
      </w:pPr>
      <w:hyperlink w:anchor="_Toc36308968" w:history="1">
        <w:r w:rsidR="00011407" w:rsidRPr="00585AB2">
          <w:rPr>
            <w:rStyle w:val="Hiperveza"/>
          </w:rPr>
          <w:t>7.3.4.</w:t>
        </w:r>
        <w:r w:rsidR="00011407">
          <w:rPr>
            <w:rFonts w:asciiTheme="minorHAnsi" w:eastAsiaTheme="minorEastAsia" w:hAnsiTheme="minorHAnsi" w:cstheme="minorBidi"/>
            <w:sz w:val="22"/>
            <w:szCs w:val="22"/>
          </w:rPr>
          <w:tab/>
        </w:r>
        <w:r w:rsidR="00011407" w:rsidRPr="00585AB2">
          <w:rPr>
            <w:rStyle w:val="Hiperveza"/>
          </w:rPr>
          <w:t>Registri i evidencije</w:t>
        </w:r>
        <w:r w:rsidR="00011407">
          <w:rPr>
            <w:webHidden/>
          </w:rPr>
          <w:tab/>
        </w:r>
        <w:r w:rsidR="00011407">
          <w:rPr>
            <w:webHidden/>
          </w:rPr>
          <w:fldChar w:fldCharType="begin"/>
        </w:r>
        <w:r w:rsidR="00011407">
          <w:rPr>
            <w:webHidden/>
          </w:rPr>
          <w:instrText xml:space="preserve"> PAGEREF _Toc36308968 \h </w:instrText>
        </w:r>
        <w:r w:rsidR="00011407">
          <w:rPr>
            <w:webHidden/>
          </w:rPr>
        </w:r>
        <w:r w:rsidR="00011407">
          <w:rPr>
            <w:webHidden/>
          </w:rPr>
          <w:fldChar w:fldCharType="separate"/>
        </w:r>
        <w:r w:rsidR="00262992">
          <w:rPr>
            <w:webHidden/>
          </w:rPr>
          <w:t>58</w:t>
        </w:r>
        <w:r w:rsidR="00011407">
          <w:rPr>
            <w:webHidden/>
          </w:rPr>
          <w:fldChar w:fldCharType="end"/>
        </w:r>
      </w:hyperlink>
    </w:p>
    <w:p w14:paraId="7A9FB659" w14:textId="2539EEA0" w:rsidR="00011407" w:rsidRDefault="00C02639">
      <w:pPr>
        <w:pStyle w:val="Sadraj3"/>
        <w:tabs>
          <w:tab w:val="left" w:pos="1757"/>
        </w:tabs>
        <w:rPr>
          <w:rFonts w:asciiTheme="minorHAnsi" w:eastAsiaTheme="minorEastAsia" w:hAnsiTheme="minorHAnsi" w:cstheme="minorBidi"/>
          <w:sz w:val="22"/>
          <w:szCs w:val="22"/>
        </w:rPr>
      </w:pPr>
      <w:hyperlink w:anchor="_Toc36308969" w:history="1">
        <w:r w:rsidR="00011407" w:rsidRPr="00585AB2">
          <w:rPr>
            <w:rStyle w:val="Hiperveza"/>
          </w:rPr>
          <w:t>7.3.5.</w:t>
        </w:r>
        <w:r w:rsidR="00011407">
          <w:rPr>
            <w:rFonts w:asciiTheme="minorHAnsi" w:eastAsiaTheme="minorEastAsia" w:hAnsiTheme="minorHAnsi" w:cstheme="minorBidi"/>
            <w:sz w:val="22"/>
            <w:szCs w:val="22"/>
          </w:rPr>
          <w:tab/>
        </w:r>
        <w:r w:rsidR="00011407" w:rsidRPr="00585AB2">
          <w:rPr>
            <w:rStyle w:val="Hiperveza"/>
          </w:rPr>
          <w:t>Javnost rada kolegijalnih tijela</w:t>
        </w:r>
        <w:r w:rsidR="00011407">
          <w:rPr>
            <w:webHidden/>
          </w:rPr>
          <w:tab/>
        </w:r>
        <w:r w:rsidR="00011407">
          <w:rPr>
            <w:webHidden/>
          </w:rPr>
          <w:fldChar w:fldCharType="begin"/>
        </w:r>
        <w:r w:rsidR="00011407">
          <w:rPr>
            <w:webHidden/>
          </w:rPr>
          <w:instrText xml:space="preserve"> PAGEREF _Toc36308969 \h </w:instrText>
        </w:r>
        <w:r w:rsidR="00011407">
          <w:rPr>
            <w:webHidden/>
          </w:rPr>
        </w:r>
        <w:r w:rsidR="00011407">
          <w:rPr>
            <w:webHidden/>
          </w:rPr>
          <w:fldChar w:fldCharType="separate"/>
        </w:r>
        <w:r w:rsidR="00262992">
          <w:rPr>
            <w:webHidden/>
          </w:rPr>
          <w:t>59</w:t>
        </w:r>
        <w:r w:rsidR="00011407">
          <w:rPr>
            <w:webHidden/>
          </w:rPr>
          <w:fldChar w:fldCharType="end"/>
        </w:r>
      </w:hyperlink>
    </w:p>
    <w:p w14:paraId="5C23652C" w14:textId="7D58F9F4" w:rsidR="00011407" w:rsidRDefault="00C02639">
      <w:pPr>
        <w:pStyle w:val="Sadraj3"/>
        <w:tabs>
          <w:tab w:val="left" w:pos="1757"/>
        </w:tabs>
        <w:rPr>
          <w:rFonts w:asciiTheme="minorHAnsi" w:eastAsiaTheme="minorEastAsia" w:hAnsiTheme="minorHAnsi" w:cstheme="minorBidi"/>
          <w:sz w:val="22"/>
          <w:szCs w:val="22"/>
        </w:rPr>
      </w:pPr>
      <w:hyperlink w:anchor="_Toc36308970" w:history="1">
        <w:r w:rsidR="00011407" w:rsidRPr="00585AB2">
          <w:rPr>
            <w:rStyle w:val="Hiperveza"/>
          </w:rPr>
          <w:t>7.3.6.</w:t>
        </w:r>
        <w:r w:rsidR="00011407">
          <w:rPr>
            <w:rFonts w:asciiTheme="minorHAnsi" w:eastAsiaTheme="minorEastAsia" w:hAnsiTheme="minorHAnsi" w:cstheme="minorBidi"/>
            <w:sz w:val="22"/>
            <w:szCs w:val="22"/>
          </w:rPr>
          <w:tab/>
        </w:r>
        <w:r w:rsidR="00011407" w:rsidRPr="00585AB2">
          <w:rPr>
            <w:rStyle w:val="Hiperveza"/>
          </w:rPr>
          <w:t>Pravo na pristup i ponovnu uporabu informacija</w:t>
        </w:r>
        <w:r w:rsidR="00011407">
          <w:rPr>
            <w:webHidden/>
          </w:rPr>
          <w:tab/>
        </w:r>
        <w:r w:rsidR="00011407">
          <w:rPr>
            <w:webHidden/>
          </w:rPr>
          <w:fldChar w:fldCharType="begin"/>
        </w:r>
        <w:r w:rsidR="00011407">
          <w:rPr>
            <w:webHidden/>
          </w:rPr>
          <w:instrText xml:space="preserve"> PAGEREF _Toc36308970 \h </w:instrText>
        </w:r>
        <w:r w:rsidR="00011407">
          <w:rPr>
            <w:webHidden/>
          </w:rPr>
        </w:r>
        <w:r w:rsidR="00011407">
          <w:rPr>
            <w:webHidden/>
          </w:rPr>
          <w:fldChar w:fldCharType="separate"/>
        </w:r>
        <w:r w:rsidR="00262992">
          <w:rPr>
            <w:webHidden/>
          </w:rPr>
          <w:t>60</w:t>
        </w:r>
        <w:r w:rsidR="00011407">
          <w:rPr>
            <w:webHidden/>
          </w:rPr>
          <w:fldChar w:fldCharType="end"/>
        </w:r>
      </w:hyperlink>
    </w:p>
    <w:p w14:paraId="54ED381A" w14:textId="3A643406" w:rsidR="00011407" w:rsidRDefault="00C02639">
      <w:pPr>
        <w:pStyle w:val="Sadraj2"/>
        <w:rPr>
          <w:rFonts w:asciiTheme="minorHAnsi" w:eastAsiaTheme="minorEastAsia" w:hAnsiTheme="minorHAnsi" w:cstheme="minorBidi"/>
          <w:sz w:val="22"/>
          <w:szCs w:val="22"/>
        </w:rPr>
      </w:pPr>
      <w:hyperlink w:anchor="_Toc36308971" w:history="1">
        <w:r w:rsidR="00011407" w:rsidRPr="00585AB2">
          <w:rPr>
            <w:rStyle w:val="Hiperveza"/>
          </w:rPr>
          <w:t>7.4.</w:t>
        </w:r>
        <w:r w:rsidR="00011407">
          <w:rPr>
            <w:rFonts w:asciiTheme="minorHAnsi" w:eastAsiaTheme="minorEastAsia" w:hAnsiTheme="minorHAnsi" w:cstheme="minorBidi"/>
            <w:sz w:val="22"/>
            <w:szCs w:val="22"/>
          </w:rPr>
          <w:tab/>
        </w:r>
        <w:r w:rsidR="00011407" w:rsidRPr="00585AB2">
          <w:rPr>
            <w:rStyle w:val="Hiperveza"/>
          </w:rPr>
          <w:t>Analitičko praćenje proaktivne objave i javnosti rada</w:t>
        </w:r>
        <w:r w:rsidR="00011407">
          <w:rPr>
            <w:webHidden/>
          </w:rPr>
          <w:tab/>
        </w:r>
        <w:r w:rsidR="00011407">
          <w:rPr>
            <w:webHidden/>
          </w:rPr>
          <w:fldChar w:fldCharType="begin"/>
        </w:r>
        <w:r w:rsidR="00011407">
          <w:rPr>
            <w:webHidden/>
          </w:rPr>
          <w:instrText xml:space="preserve"> PAGEREF _Toc36308971 \h </w:instrText>
        </w:r>
        <w:r w:rsidR="00011407">
          <w:rPr>
            <w:webHidden/>
          </w:rPr>
        </w:r>
        <w:r w:rsidR="00011407">
          <w:rPr>
            <w:webHidden/>
          </w:rPr>
          <w:fldChar w:fldCharType="separate"/>
        </w:r>
        <w:r w:rsidR="00262992">
          <w:rPr>
            <w:webHidden/>
          </w:rPr>
          <w:t>60</w:t>
        </w:r>
        <w:r w:rsidR="00011407">
          <w:rPr>
            <w:webHidden/>
          </w:rPr>
          <w:fldChar w:fldCharType="end"/>
        </w:r>
      </w:hyperlink>
    </w:p>
    <w:p w14:paraId="2B8E2599" w14:textId="19D67765" w:rsidR="00011407" w:rsidRDefault="00C02639">
      <w:pPr>
        <w:pStyle w:val="Sadraj3"/>
        <w:tabs>
          <w:tab w:val="left" w:pos="1757"/>
        </w:tabs>
        <w:rPr>
          <w:rFonts w:asciiTheme="minorHAnsi" w:eastAsiaTheme="minorEastAsia" w:hAnsiTheme="minorHAnsi" w:cstheme="minorBidi"/>
          <w:sz w:val="22"/>
          <w:szCs w:val="22"/>
        </w:rPr>
      </w:pPr>
      <w:hyperlink w:anchor="_Toc36308972" w:history="1">
        <w:r w:rsidR="00011407" w:rsidRPr="00585AB2">
          <w:rPr>
            <w:rStyle w:val="Hiperveza"/>
          </w:rPr>
          <w:t>7.4.1.</w:t>
        </w:r>
        <w:r w:rsidR="00011407">
          <w:rPr>
            <w:rFonts w:asciiTheme="minorHAnsi" w:eastAsiaTheme="minorEastAsia" w:hAnsiTheme="minorHAnsi" w:cstheme="minorBidi"/>
            <w:sz w:val="22"/>
            <w:szCs w:val="22"/>
          </w:rPr>
          <w:tab/>
        </w:r>
        <w:r w:rsidR="00011407" w:rsidRPr="00585AB2">
          <w:rPr>
            <w:rStyle w:val="Hiperveza"/>
          </w:rPr>
          <w:t>Transparentnost i otvorenost u lokalnoj i područnoj (regionalnoj) samoupravi – nastavak godišnjeg praćenja</w:t>
        </w:r>
        <w:r w:rsidR="00011407">
          <w:rPr>
            <w:webHidden/>
          </w:rPr>
          <w:tab/>
        </w:r>
        <w:r w:rsidR="00011407">
          <w:rPr>
            <w:webHidden/>
          </w:rPr>
          <w:fldChar w:fldCharType="begin"/>
        </w:r>
        <w:r w:rsidR="00011407">
          <w:rPr>
            <w:webHidden/>
          </w:rPr>
          <w:instrText xml:space="preserve"> PAGEREF _Toc36308972 \h </w:instrText>
        </w:r>
        <w:r w:rsidR="00011407">
          <w:rPr>
            <w:webHidden/>
          </w:rPr>
        </w:r>
        <w:r w:rsidR="00011407">
          <w:rPr>
            <w:webHidden/>
          </w:rPr>
          <w:fldChar w:fldCharType="separate"/>
        </w:r>
        <w:r w:rsidR="00262992">
          <w:rPr>
            <w:webHidden/>
          </w:rPr>
          <w:t>61</w:t>
        </w:r>
        <w:r w:rsidR="00011407">
          <w:rPr>
            <w:webHidden/>
          </w:rPr>
          <w:fldChar w:fldCharType="end"/>
        </w:r>
      </w:hyperlink>
    </w:p>
    <w:p w14:paraId="0745247E" w14:textId="7FCD7DCC" w:rsidR="00011407" w:rsidRDefault="00C02639">
      <w:pPr>
        <w:pStyle w:val="Sadraj3"/>
        <w:tabs>
          <w:tab w:val="left" w:pos="1757"/>
        </w:tabs>
        <w:rPr>
          <w:rFonts w:asciiTheme="minorHAnsi" w:eastAsiaTheme="minorEastAsia" w:hAnsiTheme="minorHAnsi" w:cstheme="minorBidi"/>
          <w:sz w:val="22"/>
          <w:szCs w:val="22"/>
        </w:rPr>
      </w:pPr>
      <w:hyperlink w:anchor="_Toc36308973" w:history="1">
        <w:r w:rsidR="00011407" w:rsidRPr="00585AB2">
          <w:rPr>
            <w:rStyle w:val="Hiperveza"/>
          </w:rPr>
          <w:t>7.4.2.</w:t>
        </w:r>
        <w:r w:rsidR="00011407">
          <w:rPr>
            <w:rFonts w:asciiTheme="minorHAnsi" w:eastAsiaTheme="minorEastAsia" w:hAnsiTheme="minorHAnsi" w:cstheme="minorBidi"/>
            <w:sz w:val="22"/>
            <w:szCs w:val="22"/>
          </w:rPr>
          <w:tab/>
        </w:r>
        <w:r w:rsidR="00011407" w:rsidRPr="00585AB2">
          <w:rPr>
            <w:rStyle w:val="Hiperveza"/>
          </w:rPr>
          <w:t>Objava zakona i drugih propisa koji se odnose na područje rada ministarstava</w:t>
        </w:r>
        <w:r w:rsidR="00011407">
          <w:rPr>
            <w:webHidden/>
          </w:rPr>
          <w:tab/>
        </w:r>
        <w:r w:rsidR="00011407">
          <w:rPr>
            <w:webHidden/>
          </w:rPr>
          <w:fldChar w:fldCharType="begin"/>
        </w:r>
        <w:r w:rsidR="00011407">
          <w:rPr>
            <w:webHidden/>
          </w:rPr>
          <w:instrText xml:space="preserve"> PAGEREF _Toc36308973 \h </w:instrText>
        </w:r>
        <w:r w:rsidR="00011407">
          <w:rPr>
            <w:webHidden/>
          </w:rPr>
        </w:r>
        <w:r w:rsidR="00011407">
          <w:rPr>
            <w:webHidden/>
          </w:rPr>
          <w:fldChar w:fldCharType="separate"/>
        </w:r>
        <w:r w:rsidR="00262992">
          <w:rPr>
            <w:webHidden/>
          </w:rPr>
          <w:t>62</w:t>
        </w:r>
        <w:r w:rsidR="00011407">
          <w:rPr>
            <w:webHidden/>
          </w:rPr>
          <w:fldChar w:fldCharType="end"/>
        </w:r>
      </w:hyperlink>
    </w:p>
    <w:p w14:paraId="0295BB50" w14:textId="4013F670" w:rsidR="00011407" w:rsidRDefault="00C02639">
      <w:pPr>
        <w:pStyle w:val="Sadraj3"/>
        <w:tabs>
          <w:tab w:val="left" w:pos="1757"/>
        </w:tabs>
        <w:rPr>
          <w:rFonts w:asciiTheme="minorHAnsi" w:eastAsiaTheme="minorEastAsia" w:hAnsiTheme="minorHAnsi" w:cstheme="minorBidi"/>
          <w:sz w:val="22"/>
          <w:szCs w:val="22"/>
        </w:rPr>
      </w:pPr>
      <w:hyperlink w:anchor="_Toc36308974" w:history="1">
        <w:r w:rsidR="00011407" w:rsidRPr="00585AB2">
          <w:rPr>
            <w:rStyle w:val="Hiperveza"/>
          </w:rPr>
          <w:t>7.4.3.</w:t>
        </w:r>
        <w:r w:rsidR="00011407">
          <w:rPr>
            <w:rFonts w:asciiTheme="minorHAnsi" w:eastAsiaTheme="minorEastAsia" w:hAnsiTheme="minorHAnsi" w:cstheme="minorBidi"/>
            <w:sz w:val="22"/>
            <w:szCs w:val="22"/>
          </w:rPr>
          <w:tab/>
        </w:r>
        <w:r w:rsidR="00011407" w:rsidRPr="00585AB2">
          <w:rPr>
            <w:rStyle w:val="Hiperveza"/>
          </w:rPr>
          <w:t>Objava proračunskih dokumenata i izvješća strukovnih komora</w:t>
        </w:r>
        <w:r w:rsidR="00011407">
          <w:rPr>
            <w:webHidden/>
          </w:rPr>
          <w:tab/>
        </w:r>
        <w:r w:rsidR="00011407">
          <w:rPr>
            <w:webHidden/>
          </w:rPr>
          <w:fldChar w:fldCharType="begin"/>
        </w:r>
        <w:r w:rsidR="00011407">
          <w:rPr>
            <w:webHidden/>
          </w:rPr>
          <w:instrText xml:space="preserve"> PAGEREF _Toc36308974 \h </w:instrText>
        </w:r>
        <w:r w:rsidR="00011407">
          <w:rPr>
            <w:webHidden/>
          </w:rPr>
        </w:r>
        <w:r w:rsidR="00011407">
          <w:rPr>
            <w:webHidden/>
          </w:rPr>
          <w:fldChar w:fldCharType="separate"/>
        </w:r>
        <w:r w:rsidR="00262992">
          <w:rPr>
            <w:webHidden/>
          </w:rPr>
          <w:t>62</w:t>
        </w:r>
        <w:r w:rsidR="00011407">
          <w:rPr>
            <w:webHidden/>
          </w:rPr>
          <w:fldChar w:fldCharType="end"/>
        </w:r>
      </w:hyperlink>
    </w:p>
    <w:p w14:paraId="453F8EC1" w14:textId="6E63CD6F" w:rsidR="00011407" w:rsidRDefault="00C02639">
      <w:pPr>
        <w:pStyle w:val="Sadraj2"/>
        <w:rPr>
          <w:rFonts w:asciiTheme="minorHAnsi" w:eastAsiaTheme="minorEastAsia" w:hAnsiTheme="minorHAnsi" w:cstheme="minorBidi"/>
          <w:sz w:val="22"/>
          <w:szCs w:val="22"/>
        </w:rPr>
      </w:pPr>
      <w:hyperlink w:anchor="_Toc36308975" w:history="1">
        <w:r w:rsidR="00011407" w:rsidRPr="00585AB2">
          <w:rPr>
            <w:rStyle w:val="Hiperveza"/>
          </w:rPr>
          <w:t>7.5.</w:t>
        </w:r>
        <w:r w:rsidR="00011407">
          <w:rPr>
            <w:rFonts w:asciiTheme="minorHAnsi" w:eastAsiaTheme="minorEastAsia" w:hAnsiTheme="minorHAnsi" w:cstheme="minorBidi"/>
            <w:sz w:val="22"/>
            <w:szCs w:val="22"/>
          </w:rPr>
          <w:tab/>
        </w:r>
        <w:r w:rsidR="00011407" w:rsidRPr="00585AB2">
          <w:rPr>
            <w:rStyle w:val="Hiperveza"/>
          </w:rPr>
          <w:t>Dostava informacija u Središnji katalog službenih dokumenata Republike Hrvatske</w:t>
        </w:r>
        <w:r w:rsidR="00011407">
          <w:rPr>
            <w:webHidden/>
          </w:rPr>
          <w:tab/>
        </w:r>
        <w:r w:rsidR="00011407">
          <w:rPr>
            <w:webHidden/>
          </w:rPr>
          <w:fldChar w:fldCharType="begin"/>
        </w:r>
        <w:r w:rsidR="00011407">
          <w:rPr>
            <w:webHidden/>
          </w:rPr>
          <w:instrText xml:space="preserve"> PAGEREF _Toc36308975 \h </w:instrText>
        </w:r>
        <w:r w:rsidR="00011407">
          <w:rPr>
            <w:webHidden/>
          </w:rPr>
        </w:r>
        <w:r w:rsidR="00011407">
          <w:rPr>
            <w:webHidden/>
          </w:rPr>
          <w:fldChar w:fldCharType="separate"/>
        </w:r>
        <w:r w:rsidR="00262992">
          <w:rPr>
            <w:webHidden/>
          </w:rPr>
          <w:t>63</w:t>
        </w:r>
        <w:r w:rsidR="00011407">
          <w:rPr>
            <w:webHidden/>
          </w:rPr>
          <w:fldChar w:fldCharType="end"/>
        </w:r>
      </w:hyperlink>
    </w:p>
    <w:p w14:paraId="32545FC7" w14:textId="23DA72F0" w:rsidR="00011407" w:rsidRDefault="00C02639">
      <w:pPr>
        <w:pStyle w:val="Sadraj1"/>
        <w:rPr>
          <w:rFonts w:asciiTheme="minorHAnsi" w:eastAsiaTheme="minorEastAsia" w:hAnsiTheme="minorHAnsi" w:cstheme="minorBidi"/>
          <w:b w:val="0"/>
          <w:sz w:val="22"/>
          <w:szCs w:val="22"/>
        </w:rPr>
      </w:pPr>
      <w:hyperlink w:anchor="_Toc36308976" w:history="1">
        <w:r w:rsidR="00011407" w:rsidRPr="00585AB2">
          <w:rPr>
            <w:rStyle w:val="Hiperveza"/>
          </w:rPr>
          <w:t>8.</w:t>
        </w:r>
        <w:r w:rsidR="00011407">
          <w:rPr>
            <w:rFonts w:asciiTheme="minorHAnsi" w:eastAsiaTheme="minorEastAsia" w:hAnsiTheme="minorHAnsi" w:cstheme="minorBidi"/>
            <w:b w:val="0"/>
            <w:sz w:val="22"/>
            <w:szCs w:val="22"/>
          </w:rPr>
          <w:tab/>
        </w:r>
        <w:r w:rsidR="00011407" w:rsidRPr="00585AB2">
          <w:rPr>
            <w:rStyle w:val="Hiperveza"/>
          </w:rPr>
          <w:t>Savjetovanje s javnošću tijela javne vlasti</w:t>
        </w:r>
        <w:r w:rsidR="00011407">
          <w:rPr>
            <w:webHidden/>
          </w:rPr>
          <w:tab/>
        </w:r>
        <w:r w:rsidR="00011407">
          <w:rPr>
            <w:webHidden/>
          </w:rPr>
          <w:fldChar w:fldCharType="begin"/>
        </w:r>
        <w:r w:rsidR="00011407">
          <w:rPr>
            <w:webHidden/>
          </w:rPr>
          <w:instrText xml:space="preserve"> PAGEREF _Toc36308976 \h </w:instrText>
        </w:r>
        <w:r w:rsidR="00011407">
          <w:rPr>
            <w:webHidden/>
          </w:rPr>
        </w:r>
        <w:r w:rsidR="00011407">
          <w:rPr>
            <w:webHidden/>
          </w:rPr>
          <w:fldChar w:fldCharType="separate"/>
        </w:r>
        <w:r w:rsidR="00262992">
          <w:rPr>
            <w:webHidden/>
          </w:rPr>
          <w:t>63</w:t>
        </w:r>
        <w:r w:rsidR="00011407">
          <w:rPr>
            <w:webHidden/>
          </w:rPr>
          <w:fldChar w:fldCharType="end"/>
        </w:r>
      </w:hyperlink>
    </w:p>
    <w:p w14:paraId="69EB21B8" w14:textId="34AB76A8" w:rsidR="00011407" w:rsidRDefault="00C02639">
      <w:pPr>
        <w:pStyle w:val="Sadraj2"/>
        <w:rPr>
          <w:rFonts w:asciiTheme="minorHAnsi" w:eastAsiaTheme="minorEastAsia" w:hAnsiTheme="minorHAnsi" w:cstheme="minorBidi"/>
          <w:sz w:val="22"/>
          <w:szCs w:val="22"/>
        </w:rPr>
      </w:pPr>
      <w:hyperlink w:anchor="_Toc36308977" w:history="1">
        <w:r w:rsidR="00011407" w:rsidRPr="00585AB2">
          <w:rPr>
            <w:rStyle w:val="Hiperveza"/>
          </w:rPr>
          <w:t>8.1.</w:t>
        </w:r>
        <w:r w:rsidR="00011407">
          <w:rPr>
            <w:rFonts w:asciiTheme="minorHAnsi" w:eastAsiaTheme="minorEastAsia" w:hAnsiTheme="minorHAnsi" w:cstheme="minorBidi"/>
            <w:sz w:val="22"/>
            <w:szCs w:val="22"/>
          </w:rPr>
          <w:tab/>
        </w:r>
        <w:r w:rsidR="00011407" w:rsidRPr="00585AB2">
          <w:rPr>
            <w:rStyle w:val="Hiperveza"/>
          </w:rPr>
          <w:t>Izvješća tijela javne vlasti o postupcima savjetovanja s javnošću</w:t>
        </w:r>
        <w:r w:rsidR="00011407">
          <w:rPr>
            <w:webHidden/>
          </w:rPr>
          <w:tab/>
        </w:r>
        <w:r w:rsidR="00011407">
          <w:rPr>
            <w:webHidden/>
          </w:rPr>
          <w:fldChar w:fldCharType="begin"/>
        </w:r>
        <w:r w:rsidR="00011407">
          <w:rPr>
            <w:webHidden/>
          </w:rPr>
          <w:instrText xml:space="preserve"> PAGEREF _Toc36308977 \h </w:instrText>
        </w:r>
        <w:r w:rsidR="00011407">
          <w:rPr>
            <w:webHidden/>
          </w:rPr>
        </w:r>
        <w:r w:rsidR="00011407">
          <w:rPr>
            <w:webHidden/>
          </w:rPr>
          <w:fldChar w:fldCharType="separate"/>
        </w:r>
        <w:r w:rsidR="00262992">
          <w:rPr>
            <w:webHidden/>
          </w:rPr>
          <w:t>64</w:t>
        </w:r>
        <w:r w:rsidR="00011407">
          <w:rPr>
            <w:webHidden/>
          </w:rPr>
          <w:fldChar w:fldCharType="end"/>
        </w:r>
      </w:hyperlink>
    </w:p>
    <w:p w14:paraId="7C79742B" w14:textId="16A5FBF0" w:rsidR="00011407" w:rsidRDefault="00C02639">
      <w:pPr>
        <w:pStyle w:val="Sadraj3"/>
        <w:tabs>
          <w:tab w:val="left" w:pos="1757"/>
        </w:tabs>
        <w:rPr>
          <w:rFonts w:asciiTheme="minorHAnsi" w:eastAsiaTheme="minorEastAsia" w:hAnsiTheme="minorHAnsi" w:cstheme="minorBidi"/>
          <w:sz w:val="22"/>
          <w:szCs w:val="22"/>
        </w:rPr>
      </w:pPr>
      <w:hyperlink w:anchor="_Toc36308978" w:history="1">
        <w:r w:rsidR="00011407" w:rsidRPr="00585AB2">
          <w:rPr>
            <w:rStyle w:val="Hiperveza"/>
          </w:rPr>
          <w:t>8.1.1.</w:t>
        </w:r>
        <w:r w:rsidR="00011407">
          <w:rPr>
            <w:rFonts w:asciiTheme="minorHAnsi" w:eastAsiaTheme="minorEastAsia" w:hAnsiTheme="minorHAnsi" w:cstheme="minorBidi"/>
            <w:sz w:val="22"/>
            <w:szCs w:val="22"/>
          </w:rPr>
          <w:tab/>
        </w:r>
        <w:r w:rsidR="00011407" w:rsidRPr="00585AB2">
          <w:rPr>
            <w:rStyle w:val="Hiperveza"/>
          </w:rPr>
          <w:t>Objava godišnjeg plana savjetovanja s javnošću</w:t>
        </w:r>
        <w:r w:rsidR="00011407">
          <w:rPr>
            <w:webHidden/>
          </w:rPr>
          <w:tab/>
        </w:r>
        <w:r w:rsidR="00011407">
          <w:rPr>
            <w:webHidden/>
          </w:rPr>
          <w:fldChar w:fldCharType="begin"/>
        </w:r>
        <w:r w:rsidR="00011407">
          <w:rPr>
            <w:webHidden/>
          </w:rPr>
          <w:instrText xml:space="preserve"> PAGEREF _Toc36308978 \h </w:instrText>
        </w:r>
        <w:r w:rsidR="00011407">
          <w:rPr>
            <w:webHidden/>
          </w:rPr>
        </w:r>
        <w:r w:rsidR="00011407">
          <w:rPr>
            <w:webHidden/>
          </w:rPr>
          <w:fldChar w:fldCharType="separate"/>
        </w:r>
        <w:r w:rsidR="00262992">
          <w:rPr>
            <w:webHidden/>
          </w:rPr>
          <w:t>64</w:t>
        </w:r>
        <w:r w:rsidR="00011407">
          <w:rPr>
            <w:webHidden/>
          </w:rPr>
          <w:fldChar w:fldCharType="end"/>
        </w:r>
      </w:hyperlink>
    </w:p>
    <w:p w14:paraId="5A6A9E24" w14:textId="4E9CAA50" w:rsidR="00011407" w:rsidRDefault="00C02639">
      <w:pPr>
        <w:pStyle w:val="Sadraj3"/>
        <w:tabs>
          <w:tab w:val="left" w:pos="1757"/>
        </w:tabs>
        <w:rPr>
          <w:rFonts w:asciiTheme="minorHAnsi" w:eastAsiaTheme="minorEastAsia" w:hAnsiTheme="minorHAnsi" w:cstheme="minorBidi"/>
          <w:sz w:val="22"/>
          <w:szCs w:val="22"/>
        </w:rPr>
      </w:pPr>
      <w:hyperlink w:anchor="_Toc36308979" w:history="1">
        <w:r w:rsidR="00011407" w:rsidRPr="00585AB2">
          <w:rPr>
            <w:rStyle w:val="Hiperveza"/>
          </w:rPr>
          <w:t>8.1.2.</w:t>
        </w:r>
        <w:r w:rsidR="00011407">
          <w:rPr>
            <w:rFonts w:asciiTheme="minorHAnsi" w:eastAsiaTheme="minorEastAsia" w:hAnsiTheme="minorHAnsi" w:cstheme="minorBidi"/>
            <w:sz w:val="22"/>
            <w:szCs w:val="22"/>
          </w:rPr>
          <w:tab/>
        </w:r>
        <w:r w:rsidR="00011407" w:rsidRPr="00585AB2">
          <w:rPr>
            <w:rStyle w:val="Hiperveza"/>
          </w:rPr>
          <w:t>Provedena savjetovanja s javnošću</w:t>
        </w:r>
        <w:r w:rsidR="00011407">
          <w:rPr>
            <w:webHidden/>
          </w:rPr>
          <w:tab/>
        </w:r>
        <w:r w:rsidR="00011407">
          <w:rPr>
            <w:webHidden/>
          </w:rPr>
          <w:fldChar w:fldCharType="begin"/>
        </w:r>
        <w:r w:rsidR="00011407">
          <w:rPr>
            <w:webHidden/>
          </w:rPr>
          <w:instrText xml:space="preserve"> PAGEREF _Toc36308979 \h </w:instrText>
        </w:r>
        <w:r w:rsidR="00011407">
          <w:rPr>
            <w:webHidden/>
          </w:rPr>
        </w:r>
        <w:r w:rsidR="00011407">
          <w:rPr>
            <w:webHidden/>
          </w:rPr>
          <w:fldChar w:fldCharType="separate"/>
        </w:r>
        <w:r w:rsidR="00262992">
          <w:rPr>
            <w:webHidden/>
          </w:rPr>
          <w:t>65</w:t>
        </w:r>
        <w:r w:rsidR="00011407">
          <w:rPr>
            <w:webHidden/>
          </w:rPr>
          <w:fldChar w:fldCharType="end"/>
        </w:r>
      </w:hyperlink>
    </w:p>
    <w:p w14:paraId="4741A31E" w14:textId="5F0EBE76" w:rsidR="00011407" w:rsidRDefault="00C02639">
      <w:pPr>
        <w:pStyle w:val="Sadraj3"/>
        <w:tabs>
          <w:tab w:val="left" w:pos="1757"/>
        </w:tabs>
        <w:rPr>
          <w:rFonts w:asciiTheme="minorHAnsi" w:eastAsiaTheme="minorEastAsia" w:hAnsiTheme="minorHAnsi" w:cstheme="minorBidi"/>
          <w:sz w:val="22"/>
          <w:szCs w:val="22"/>
        </w:rPr>
      </w:pPr>
      <w:hyperlink w:anchor="_Toc36308980" w:history="1">
        <w:r w:rsidR="00011407" w:rsidRPr="00585AB2">
          <w:rPr>
            <w:rStyle w:val="Hiperveza"/>
          </w:rPr>
          <w:t>8.1.3.</w:t>
        </w:r>
        <w:r w:rsidR="00011407">
          <w:rPr>
            <w:rFonts w:asciiTheme="minorHAnsi" w:eastAsiaTheme="minorEastAsia" w:hAnsiTheme="minorHAnsi" w:cstheme="minorBidi"/>
            <w:sz w:val="22"/>
            <w:szCs w:val="22"/>
          </w:rPr>
          <w:tab/>
        </w:r>
        <w:r w:rsidR="00011407" w:rsidRPr="00585AB2">
          <w:rPr>
            <w:rStyle w:val="Hiperveza"/>
          </w:rPr>
          <w:t>Trajanje savjetovanja s javnošću</w:t>
        </w:r>
        <w:r w:rsidR="00011407">
          <w:rPr>
            <w:webHidden/>
          </w:rPr>
          <w:tab/>
        </w:r>
        <w:r w:rsidR="00011407">
          <w:rPr>
            <w:webHidden/>
          </w:rPr>
          <w:fldChar w:fldCharType="begin"/>
        </w:r>
        <w:r w:rsidR="00011407">
          <w:rPr>
            <w:webHidden/>
          </w:rPr>
          <w:instrText xml:space="preserve"> PAGEREF _Toc36308980 \h </w:instrText>
        </w:r>
        <w:r w:rsidR="00011407">
          <w:rPr>
            <w:webHidden/>
          </w:rPr>
        </w:r>
        <w:r w:rsidR="00011407">
          <w:rPr>
            <w:webHidden/>
          </w:rPr>
          <w:fldChar w:fldCharType="separate"/>
        </w:r>
        <w:r w:rsidR="00262992">
          <w:rPr>
            <w:webHidden/>
          </w:rPr>
          <w:t>66</w:t>
        </w:r>
        <w:r w:rsidR="00011407">
          <w:rPr>
            <w:webHidden/>
          </w:rPr>
          <w:fldChar w:fldCharType="end"/>
        </w:r>
      </w:hyperlink>
    </w:p>
    <w:p w14:paraId="3C1BA026" w14:textId="490B5097" w:rsidR="00011407" w:rsidRDefault="00C02639">
      <w:pPr>
        <w:pStyle w:val="Sadraj2"/>
        <w:rPr>
          <w:rFonts w:asciiTheme="minorHAnsi" w:eastAsiaTheme="minorEastAsia" w:hAnsiTheme="minorHAnsi" w:cstheme="minorBidi"/>
          <w:sz w:val="22"/>
          <w:szCs w:val="22"/>
        </w:rPr>
      </w:pPr>
      <w:hyperlink w:anchor="_Toc36308981" w:history="1">
        <w:r w:rsidR="00011407" w:rsidRPr="00585AB2">
          <w:rPr>
            <w:rStyle w:val="Hiperveza"/>
          </w:rPr>
          <w:t>8.2.</w:t>
        </w:r>
        <w:r w:rsidR="00011407">
          <w:rPr>
            <w:rFonts w:asciiTheme="minorHAnsi" w:eastAsiaTheme="minorEastAsia" w:hAnsiTheme="minorHAnsi" w:cstheme="minorBidi"/>
            <w:sz w:val="22"/>
            <w:szCs w:val="22"/>
          </w:rPr>
          <w:tab/>
        </w:r>
        <w:r w:rsidR="00011407" w:rsidRPr="00585AB2">
          <w:rPr>
            <w:rStyle w:val="Hiperveza"/>
          </w:rPr>
          <w:t>Nadzor provedbe savjetovanja s javnošću</w:t>
        </w:r>
        <w:r w:rsidR="00011407">
          <w:rPr>
            <w:webHidden/>
          </w:rPr>
          <w:tab/>
        </w:r>
        <w:r w:rsidR="00011407">
          <w:rPr>
            <w:webHidden/>
          </w:rPr>
          <w:fldChar w:fldCharType="begin"/>
        </w:r>
        <w:r w:rsidR="00011407">
          <w:rPr>
            <w:webHidden/>
          </w:rPr>
          <w:instrText xml:space="preserve"> PAGEREF _Toc36308981 \h </w:instrText>
        </w:r>
        <w:r w:rsidR="00011407">
          <w:rPr>
            <w:webHidden/>
          </w:rPr>
        </w:r>
        <w:r w:rsidR="00011407">
          <w:rPr>
            <w:webHidden/>
          </w:rPr>
          <w:fldChar w:fldCharType="separate"/>
        </w:r>
        <w:r w:rsidR="00262992">
          <w:rPr>
            <w:webHidden/>
          </w:rPr>
          <w:t>67</w:t>
        </w:r>
        <w:r w:rsidR="00011407">
          <w:rPr>
            <w:webHidden/>
          </w:rPr>
          <w:fldChar w:fldCharType="end"/>
        </w:r>
      </w:hyperlink>
    </w:p>
    <w:p w14:paraId="0ADB9B03" w14:textId="21A2431C" w:rsidR="00011407" w:rsidRDefault="00C02639">
      <w:pPr>
        <w:pStyle w:val="Sadraj2"/>
        <w:rPr>
          <w:rFonts w:asciiTheme="minorHAnsi" w:eastAsiaTheme="minorEastAsia" w:hAnsiTheme="minorHAnsi" w:cstheme="minorBidi"/>
          <w:sz w:val="22"/>
          <w:szCs w:val="22"/>
        </w:rPr>
      </w:pPr>
      <w:hyperlink w:anchor="_Toc36308982" w:history="1">
        <w:r w:rsidR="00011407" w:rsidRPr="00585AB2">
          <w:rPr>
            <w:rStyle w:val="Hiperveza"/>
          </w:rPr>
          <w:t>8.3.</w:t>
        </w:r>
        <w:r w:rsidR="00011407">
          <w:rPr>
            <w:rFonts w:asciiTheme="minorHAnsi" w:eastAsiaTheme="minorEastAsia" w:hAnsiTheme="minorHAnsi" w:cstheme="minorBidi"/>
            <w:sz w:val="22"/>
            <w:szCs w:val="22"/>
          </w:rPr>
          <w:tab/>
        </w:r>
        <w:r w:rsidR="00011407" w:rsidRPr="00585AB2">
          <w:rPr>
            <w:rStyle w:val="Hiperveza"/>
          </w:rPr>
          <w:t>Analitičko praćenje provedbe savjetovanja s javnošću</w:t>
        </w:r>
        <w:r w:rsidR="00011407">
          <w:rPr>
            <w:webHidden/>
          </w:rPr>
          <w:tab/>
        </w:r>
        <w:r w:rsidR="00011407">
          <w:rPr>
            <w:webHidden/>
          </w:rPr>
          <w:fldChar w:fldCharType="begin"/>
        </w:r>
        <w:r w:rsidR="00011407">
          <w:rPr>
            <w:webHidden/>
          </w:rPr>
          <w:instrText xml:space="preserve"> PAGEREF _Toc36308982 \h </w:instrText>
        </w:r>
        <w:r w:rsidR="00011407">
          <w:rPr>
            <w:webHidden/>
          </w:rPr>
        </w:r>
        <w:r w:rsidR="00011407">
          <w:rPr>
            <w:webHidden/>
          </w:rPr>
          <w:fldChar w:fldCharType="separate"/>
        </w:r>
        <w:r w:rsidR="00262992">
          <w:rPr>
            <w:webHidden/>
          </w:rPr>
          <w:t>68</w:t>
        </w:r>
        <w:r w:rsidR="00011407">
          <w:rPr>
            <w:webHidden/>
          </w:rPr>
          <w:fldChar w:fldCharType="end"/>
        </w:r>
      </w:hyperlink>
    </w:p>
    <w:p w14:paraId="25D68753" w14:textId="273ACEE7" w:rsidR="00011407" w:rsidRDefault="00C02639">
      <w:pPr>
        <w:pStyle w:val="Sadraj3"/>
        <w:tabs>
          <w:tab w:val="left" w:pos="1757"/>
        </w:tabs>
        <w:rPr>
          <w:rFonts w:asciiTheme="minorHAnsi" w:eastAsiaTheme="minorEastAsia" w:hAnsiTheme="minorHAnsi" w:cstheme="minorBidi"/>
          <w:sz w:val="22"/>
          <w:szCs w:val="22"/>
        </w:rPr>
      </w:pPr>
      <w:hyperlink w:anchor="_Toc36308983" w:history="1">
        <w:r w:rsidR="00011407" w:rsidRPr="00585AB2">
          <w:rPr>
            <w:rStyle w:val="Hiperveza"/>
          </w:rPr>
          <w:t>8.3.1.</w:t>
        </w:r>
        <w:r w:rsidR="00011407">
          <w:rPr>
            <w:rFonts w:asciiTheme="minorHAnsi" w:eastAsiaTheme="minorEastAsia" w:hAnsiTheme="minorHAnsi" w:cstheme="minorBidi"/>
            <w:sz w:val="22"/>
            <w:szCs w:val="22"/>
          </w:rPr>
          <w:tab/>
        </w:r>
        <w:r w:rsidR="00011407" w:rsidRPr="00585AB2">
          <w:rPr>
            <w:rStyle w:val="Hiperveza"/>
          </w:rPr>
          <w:t>Tijela državne uprave i uredi Vlade Republike Hrvatske</w:t>
        </w:r>
        <w:r w:rsidR="00011407">
          <w:rPr>
            <w:webHidden/>
          </w:rPr>
          <w:tab/>
        </w:r>
        <w:r w:rsidR="00011407">
          <w:rPr>
            <w:webHidden/>
          </w:rPr>
          <w:fldChar w:fldCharType="begin"/>
        </w:r>
        <w:r w:rsidR="00011407">
          <w:rPr>
            <w:webHidden/>
          </w:rPr>
          <w:instrText xml:space="preserve"> PAGEREF _Toc36308983 \h </w:instrText>
        </w:r>
        <w:r w:rsidR="00011407">
          <w:rPr>
            <w:webHidden/>
          </w:rPr>
        </w:r>
        <w:r w:rsidR="00011407">
          <w:rPr>
            <w:webHidden/>
          </w:rPr>
          <w:fldChar w:fldCharType="separate"/>
        </w:r>
        <w:r w:rsidR="00262992">
          <w:rPr>
            <w:webHidden/>
          </w:rPr>
          <w:t>68</w:t>
        </w:r>
        <w:r w:rsidR="00011407">
          <w:rPr>
            <w:webHidden/>
          </w:rPr>
          <w:fldChar w:fldCharType="end"/>
        </w:r>
      </w:hyperlink>
    </w:p>
    <w:p w14:paraId="32124EB3" w14:textId="6FAD24A6" w:rsidR="00011407" w:rsidRDefault="00C02639">
      <w:pPr>
        <w:pStyle w:val="Sadraj3"/>
        <w:tabs>
          <w:tab w:val="left" w:pos="1757"/>
        </w:tabs>
        <w:rPr>
          <w:rFonts w:asciiTheme="minorHAnsi" w:eastAsiaTheme="minorEastAsia" w:hAnsiTheme="minorHAnsi" w:cstheme="minorBidi"/>
          <w:sz w:val="22"/>
          <w:szCs w:val="22"/>
        </w:rPr>
      </w:pPr>
      <w:hyperlink w:anchor="_Toc36308984" w:history="1">
        <w:r w:rsidR="00011407" w:rsidRPr="00585AB2">
          <w:rPr>
            <w:rStyle w:val="Hiperveza"/>
          </w:rPr>
          <w:t>8.3.2.</w:t>
        </w:r>
        <w:r w:rsidR="00011407">
          <w:rPr>
            <w:rFonts w:asciiTheme="minorHAnsi" w:eastAsiaTheme="minorEastAsia" w:hAnsiTheme="minorHAnsi" w:cstheme="minorBidi"/>
            <w:sz w:val="22"/>
            <w:szCs w:val="22"/>
          </w:rPr>
          <w:tab/>
        </w:r>
        <w:r w:rsidR="00011407" w:rsidRPr="00585AB2">
          <w:rPr>
            <w:rStyle w:val="Hiperveza"/>
          </w:rPr>
          <w:t>Jedinice lokalne i područne (regionalne) samouprave</w:t>
        </w:r>
        <w:r w:rsidR="00011407">
          <w:rPr>
            <w:webHidden/>
          </w:rPr>
          <w:tab/>
        </w:r>
        <w:r w:rsidR="00011407">
          <w:rPr>
            <w:webHidden/>
          </w:rPr>
          <w:fldChar w:fldCharType="begin"/>
        </w:r>
        <w:r w:rsidR="00011407">
          <w:rPr>
            <w:webHidden/>
          </w:rPr>
          <w:instrText xml:space="preserve"> PAGEREF _Toc36308984 \h </w:instrText>
        </w:r>
        <w:r w:rsidR="00011407">
          <w:rPr>
            <w:webHidden/>
          </w:rPr>
        </w:r>
        <w:r w:rsidR="00011407">
          <w:rPr>
            <w:webHidden/>
          </w:rPr>
          <w:fldChar w:fldCharType="separate"/>
        </w:r>
        <w:r w:rsidR="00262992">
          <w:rPr>
            <w:webHidden/>
          </w:rPr>
          <w:t>71</w:t>
        </w:r>
        <w:r w:rsidR="00011407">
          <w:rPr>
            <w:webHidden/>
          </w:rPr>
          <w:fldChar w:fldCharType="end"/>
        </w:r>
      </w:hyperlink>
    </w:p>
    <w:p w14:paraId="0361F0D0" w14:textId="712A24B3" w:rsidR="00011407" w:rsidRDefault="00C02639">
      <w:pPr>
        <w:pStyle w:val="Sadraj1"/>
        <w:rPr>
          <w:rFonts w:asciiTheme="minorHAnsi" w:eastAsiaTheme="minorEastAsia" w:hAnsiTheme="minorHAnsi" w:cstheme="minorBidi"/>
          <w:b w:val="0"/>
          <w:sz w:val="22"/>
          <w:szCs w:val="22"/>
        </w:rPr>
      </w:pPr>
      <w:hyperlink w:anchor="_Toc36308985" w:history="1">
        <w:r w:rsidR="00011407" w:rsidRPr="00585AB2">
          <w:rPr>
            <w:rStyle w:val="Hiperveza"/>
            <w:lang w:eastAsia="en-US"/>
          </w:rPr>
          <w:t>9.</w:t>
        </w:r>
        <w:r w:rsidR="00011407">
          <w:rPr>
            <w:rFonts w:asciiTheme="minorHAnsi" w:eastAsiaTheme="minorEastAsia" w:hAnsiTheme="minorHAnsi" w:cstheme="minorBidi"/>
            <w:b w:val="0"/>
            <w:sz w:val="22"/>
            <w:szCs w:val="22"/>
          </w:rPr>
          <w:tab/>
        </w:r>
        <w:r w:rsidR="00011407" w:rsidRPr="00585AB2">
          <w:rPr>
            <w:rStyle w:val="Hiperveza"/>
            <w:lang w:eastAsia="en-US"/>
          </w:rPr>
          <w:t>Ponovna uporaba informacija</w:t>
        </w:r>
        <w:r w:rsidR="00011407">
          <w:rPr>
            <w:webHidden/>
          </w:rPr>
          <w:tab/>
        </w:r>
        <w:r w:rsidR="00011407">
          <w:rPr>
            <w:webHidden/>
          </w:rPr>
          <w:fldChar w:fldCharType="begin"/>
        </w:r>
        <w:r w:rsidR="00011407">
          <w:rPr>
            <w:webHidden/>
          </w:rPr>
          <w:instrText xml:space="preserve"> PAGEREF _Toc36308985 \h </w:instrText>
        </w:r>
        <w:r w:rsidR="00011407">
          <w:rPr>
            <w:webHidden/>
          </w:rPr>
        </w:r>
        <w:r w:rsidR="00011407">
          <w:rPr>
            <w:webHidden/>
          </w:rPr>
          <w:fldChar w:fldCharType="separate"/>
        </w:r>
        <w:r w:rsidR="00262992">
          <w:rPr>
            <w:webHidden/>
          </w:rPr>
          <w:t>73</w:t>
        </w:r>
        <w:r w:rsidR="00011407">
          <w:rPr>
            <w:webHidden/>
          </w:rPr>
          <w:fldChar w:fldCharType="end"/>
        </w:r>
      </w:hyperlink>
    </w:p>
    <w:p w14:paraId="5F600F7C" w14:textId="3555AB13" w:rsidR="00011407" w:rsidRDefault="00C02639">
      <w:pPr>
        <w:pStyle w:val="Sadraj2"/>
        <w:rPr>
          <w:rFonts w:asciiTheme="minorHAnsi" w:eastAsiaTheme="minorEastAsia" w:hAnsiTheme="minorHAnsi" w:cstheme="minorBidi"/>
          <w:sz w:val="22"/>
          <w:szCs w:val="22"/>
        </w:rPr>
      </w:pPr>
      <w:hyperlink w:anchor="_Toc36308986" w:history="1">
        <w:r w:rsidR="00011407" w:rsidRPr="00585AB2">
          <w:rPr>
            <w:rStyle w:val="Hiperveza"/>
            <w:rFonts w:eastAsiaTheme="minorHAnsi"/>
            <w:lang w:eastAsia="en-US"/>
          </w:rPr>
          <w:t>9.1.</w:t>
        </w:r>
        <w:r w:rsidR="00011407">
          <w:rPr>
            <w:rFonts w:asciiTheme="minorHAnsi" w:eastAsiaTheme="minorEastAsia" w:hAnsiTheme="minorHAnsi" w:cstheme="minorBidi"/>
            <w:sz w:val="22"/>
            <w:szCs w:val="22"/>
          </w:rPr>
          <w:tab/>
        </w:r>
        <w:r w:rsidR="00011407" w:rsidRPr="00585AB2">
          <w:rPr>
            <w:rStyle w:val="Hiperveza"/>
            <w:rFonts w:eastAsiaTheme="minorHAnsi"/>
            <w:lang w:eastAsia="en-US"/>
          </w:rPr>
          <w:t xml:space="preserve">Pravni okvir i politika </w:t>
        </w:r>
        <w:r w:rsidR="00011407" w:rsidRPr="00585AB2">
          <w:rPr>
            <w:rStyle w:val="Hiperveza"/>
            <w:rFonts w:eastAsiaTheme="minorHAnsi"/>
          </w:rPr>
          <w:t>otvorenih</w:t>
        </w:r>
        <w:r w:rsidR="00011407" w:rsidRPr="00585AB2">
          <w:rPr>
            <w:rStyle w:val="Hiperveza"/>
            <w:rFonts w:eastAsiaTheme="minorHAnsi"/>
            <w:lang w:eastAsia="en-US"/>
          </w:rPr>
          <w:t xml:space="preserve"> podataka</w:t>
        </w:r>
        <w:r w:rsidR="00011407">
          <w:rPr>
            <w:webHidden/>
          </w:rPr>
          <w:tab/>
        </w:r>
        <w:r w:rsidR="00011407">
          <w:rPr>
            <w:webHidden/>
          </w:rPr>
          <w:fldChar w:fldCharType="begin"/>
        </w:r>
        <w:r w:rsidR="00011407">
          <w:rPr>
            <w:webHidden/>
          </w:rPr>
          <w:instrText xml:space="preserve"> PAGEREF _Toc36308986 \h </w:instrText>
        </w:r>
        <w:r w:rsidR="00011407">
          <w:rPr>
            <w:webHidden/>
          </w:rPr>
        </w:r>
        <w:r w:rsidR="00011407">
          <w:rPr>
            <w:webHidden/>
          </w:rPr>
          <w:fldChar w:fldCharType="separate"/>
        </w:r>
        <w:r w:rsidR="00262992">
          <w:rPr>
            <w:webHidden/>
          </w:rPr>
          <w:t>73</w:t>
        </w:r>
        <w:r w:rsidR="00011407">
          <w:rPr>
            <w:webHidden/>
          </w:rPr>
          <w:fldChar w:fldCharType="end"/>
        </w:r>
      </w:hyperlink>
    </w:p>
    <w:p w14:paraId="033F0388" w14:textId="7738C9CC" w:rsidR="00011407" w:rsidRDefault="00C02639">
      <w:pPr>
        <w:pStyle w:val="Sadraj2"/>
        <w:rPr>
          <w:rFonts w:asciiTheme="minorHAnsi" w:eastAsiaTheme="minorEastAsia" w:hAnsiTheme="minorHAnsi" w:cstheme="minorBidi"/>
          <w:sz w:val="22"/>
          <w:szCs w:val="22"/>
        </w:rPr>
      </w:pPr>
      <w:hyperlink w:anchor="_Toc36308987" w:history="1">
        <w:r w:rsidR="00011407" w:rsidRPr="00585AB2">
          <w:rPr>
            <w:rStyle w:val="Hiperveza"/>
          </w:rPr>
          <w:t>9.2.</w:t>
        </w:r>
        <w:r w:rsidR="00011407">
          <w:rPr>
            <w:rFonts w:asciiTheme="minorHAnsi" w:eastAsiaTheme="minorEastAsia" w:hAnsiTheme="minorHAnsi" w:cstheme="minorBidi"/>
            <w:sz w:val="22"/>
            <w:szCs w:val="22"/>
          </w:rPr>
          <w:tab/>
        </w:r>
        <w:r w:rsidR="00011407" w:rsidRPr="00585AB2">
          <w:rPr>
            <w:rStyle w:val="Hiperveza"/>
          </w:rPr>
          <w:t>Objava otvorenih podataka i portali</w:t>
        </w:r>
        <w:r w:rsidR="00011407">
          <w:rPr>
            <w:webHidden/>
          </w:rPr>
          <w:tab/>
        </w:r>
        <w:r w:rsidR="00011407">
          <w:rPr>
            <w:webHidden/>
          </w:rPr>
          <w:fldChar w:fldCharType="begin"/>
        </w:r>
        <w:r w:rsidR="00011407">
          <w:rPr>
            <w:webHidden/>
          </w:rPr>
          <w:instrText xml:space="preserve"> PAGEREF _Toc36308987 \h </w:instrText>
        </w:r>
        <w:r w:rsidR="00011407">
          <w:rPr>
            <w:webHidden/>
          </w:rPr>
        </w:r>
        <w:r w:rsidR="00011407">
          <w:rPr>
            <w:webHidden/>
          </w:rPr>
          <w:fldChar w:fldCharType="separate"/>
        </w:r>
        <w:r w:rsidR="00262992">
          <w:rPr>
            <w:webHidden/>
          </w:rPr>
          <w:t>75</w:t>
        </w:r>
        <w:r w:rsidR="00011407">
          <w:rPr>
            <w:webHidden/>
          </w:rPr>
          <w:fldChar w:fldCharType="end"/>
        </w:r>
      </w:hyperlink>
    </w:p>
    <w:p w14:paraId="23773912" w14:textId="70BBE7FF" w:rsidR="00011407" w:rsidRDefault="00C02639">
      <w:pPr>
        <w:pStyle w:val="Sadraj2"/>
        <w:rPr>
          <w:rFonts w:asciiTheme="minorHAnsi" w:eastAsiaTheme="minorEastAsia" w:hAnsiTheme="minorHAnsi" w:cstheme="minorBidi"/>
          <w:sz w:val="22"/>
          <w:szCs w:val="22"/>
        </w:rPr>
      </w:pPr>
      <w:hyperlink w:anchor="_Toc36308988" w:history="1">
        <w:r w:rsidR="00011407" w:rsidRPr="00585AB2">
          <w:rPr>
            <w:rStyle w:val="Hiperveza"/>
          </w:rPr>
          <w:t>9.3.</w:t>
        </w:r>
        <w:r w:rsidR="00011407">
          <w:rPr>
            <w:rFonts w:asciiTheme="minorHAnsi" w:eastAsiaTheme="minorEastAsia" w:hAnsiTheme="minorHAnsi" w:cstheme="minorBidi"/>
            <w:sz w:val="22"/>
            <w:szCs w:val="22"/>
          </w:rPr>
          <w:tab/>
        </w:r>
        <w:r w:rsidR="00011407" w:rsidRPr="00585AB2">
          <w:rPr>
            <w:rStyle w:val="Hiperveza"/>
          </w:rPr>
          <w:t>Poseban pravni režim ponovne uporabe informacija za knjižnice, muzeje i arhive</w:t>
        </w:r>
        <w:r w:rsidR="00011407">
          <w:rPr>
            <w:webHidden/>
          </w:rPr>
          <w:tab/>
        </w:r>
        <w:r w:rsidR="00011407">
          <w:rPr>
            <w:webHidden/>
          </w:rPr>
          <w:fldChar w:fldCharType="begin"/>
        </w:r>
        <w:r w:rsidR="00011407">
          <w:rPr>
            <w:webHidden/>
          </w:rPr>
          <w:instrText xml:space="preserve"> PAGEREF _Toc36308988 \h </w:instrText>
        </w:r>
        <w:r w:rsidR="00011407">
          <w:rPr>
            <w:webHidden/>
          </w:rPr>
        </w:r>
        <w:r w:rsidR="00011407">
          <w:rPr>
            <w:webHidden/>
          </w:rPr>
          <w:fldChar w:fldCharType="separate"/>
        </w:r>
        <w:r w:rsidR="00262992">
          <w:rPr>
            <w:webHidden/>
          </w:rPr>
          <w:t>75</w:t>
        </w:r>
        <w:r w:rsidR="00011407">
          <w:rPr>
            <w:webHidden/>
          </w:rPr>
          <w:fldChar w:fldCharType="end"/>
        </w:r>
      </w:hyperlink>
    </w:p>
    <w:p w14:paraId="2FD53804" w14:textId="2AF37CE5" w:rsidR="00011407" w:rsidRDefault="00C02639">
      <w:pPr>
        <w:pStyle w:val="Sadraj1"/>
        <w:rPr>
          <w:rFonts w:asciiTheme="minorHAnsi" w:eastAsiaTheme="minorEastAsia" w:hAnsiTheme="minorHAnsi" w:cstheme="minorBidi"/>
          <w:b w:val="0"/>
          <w:sz w:val="22"/>
          <w:szCs w:val="22"/>
        </w:rPr>
      </w:pPr>
      <w:hyperlink w:anchor="_Toc36308989" w:history="1">
        <w:r w:rsidR="00011407" w:rsidRPr="00585AB2">
          <w:rPr>
            <w:rStyle w:val="Hiperveza"/>
          </w:rPr>
          <w:t>10.</w:t>
        </w:r>
        <w:r w:rsidR="00011407">
          <w:rPr>
            <w:rFonts w:asciiTheme="minorHAnsi" w:eastAsiaTheme="minorEastAsia" w:hAnsiTheme="minorHAnsi" w:cstheme="minorBidi"/>
            <w:b w:val="0"/>
            <w:sz w:val="22"/>
            <w:szCs w:val="22"/>
          </w:rPr>
          <w:tab/>
        </w:r>
        <w:r w:rsidR="00011407" w:rsidRPr="00585AB2">
          <w:rPr>
            <w:rStyle w:val="Hiperveza"/>
          </w:rPr>
          <w:t>Promicanje prava na pristup informacijama</w:t>
        </w:r>
        <w:r w:rsidR="00011407">
          <w:rPr>
            <w:webHidden/>
          </w:rPr>
          <w:tab/>
        </w:r>
        <w:r w:rsidR="00011407">
          <w:rPr>
            <w:webHidden/>
          </w:rPr>
          <w:fldChar w:fldCharType="begin"/>
        </w:r>
        <w:r w:rsidR="00011407">
          <w:rPr>
            <w:webHidden/>
          </w:rPr>
          <w:instrText xml:space="preserve"> PAGEREF _Toc36308989 \h </w:instrText>
        </w:r>
        <w:r w:rsidR="00011407">
          <w:rPr>
            <w:webHidden/>
          </w:rPr>
        </w:r>
        <w:r w:rsidR="00011407">
          <w:rPr>
            <w:webHidden/>
          </w:rPr>
          <w:fldChar w:fldCharType="separate"/>
        </w:r>
        <w:r w:rsidR="00262992">
          <w:rPr>
            <w:webHidden/>
          </w:rPr>
          <w:t>77</w:t>
        </w:r>
        <w:r w:rsidR="00011407">
          <w:rPr>
            <w:webHidden/>
          </w:rPr>
          <w:fldChar w:fldCharType="end"/>
        </w:r>
      </w:hyperlink>
    </w:p>
    <w:p w14:paraId="21D2BF15" w14:textId="779C29FE" w:rsidR="00011407" w:rsidRDefault="00C02639">
      <w:pPr>
        <w:pStyle w:val="Sadraj2"/>
        <w:rPr>
          <w:rFonts w:asciiTheme="minorHAnsi" w:eastAsiaTheme="minorEastAsia" w:hAnsiTheme="minorHAnsi" w:cstheme="minorBidi"/>
          <w:sz w:val="22"/>
          <w:szCs w:val="22"/>
        </w:rPr>
      </w:pPr>
      <w:hyperlink w:anchor="_Toc36308990" w:history="1">
        <w:r w:rsidR="00011407" w:rsidRPr="00585AB2">
          <w:rPr>
            <w:rStyle w:val="Hiperveza"/>
            <w:lang w:eastAsia="ko-KR"/>
          </w:rPr>
          <w:t>10.1.</w:t>
        </w:r>
        <w:r w:rsidR="00011407">
          <w:rPr>
            <w:rFonts w:asciiTheme="minorHAnsi" w:eastAsiaTheme="minorEastAsia" w:hAnsiTheme="minorHAnsi" w:cstheme="minorBidi"/>
            <w:sz w:val="22"/>
            <w:szCs w:val="22"/>
          </w:rPr>
          <w:tab/>
        </w:r>
        <w:r w:rsidR="00011407" w:rsidRPr="00585AB2">
          <w:rPr>
            <w:rStyle w:val="Hiperveza"/>
            <w:lang w:eastAsia="ko-KR"/>
          </w:rPr>
          <w:t>Edukacijske aktivnosti</w:t>
        </w:r>
        <w:r w:rsidR="00011407">
          <w:rPr>
            <w:webHidden/>
          </w:rPr>
          <w:tab/>
        </w:r>
        <w:r w:rsidR="00011407">
          <w:rPr>
            <w:webHidden/>
          </w:rPr>
          <w:fldChar w:fldCharType="begin"/>
        </w:r>
        <w:r w:rsidR="00011407">
          <w:rPr>
            <w:webHidden/>
          </w:rPr>
          <w:instrText xml:space="preserve"> PAGEREF _Toc36308990 \h </w:instrText>
        </w:r>
        <w:r w:rsidR="00011407">
          <w:rPr>
            <w:webHidden/>
          </w:rPr>
        </w:r>
        <w:r w:rsidR="00011407">
          <w:rPr>
            <w:webHidden/>
          </w:rPr>
          <w:fldChar w:fldCharType="separate"/>
        </w:r>
        <w:r w:rsidR="00262992">
          <w:rPr>
            <w:webHidden/>
          </w:rPr>
          <w:t>77</w:t>
        </w:r>
        <w:r w:rsidR="00011407">
          <w:rPr>
            <w:webHidden/>
          </w:rPr>
          <w:fldChar w:fldCharType="end"/>
        </w:r>
      </w:hyperlink>
    </w:p>
    <w:p w14:paraId="2CF94300" w14:textId="5D34CC53" w:rsidR="00011407" w:rsidRDefault="00C02639">
      <w:pPr>
        <w:pStyle w:val="Sadraj2"/>
        <w:rPr>
          <w:rFonts w:asciiTheme="minorHAnsi" w:eastAsiaTheme="minorEastAsia" w:hAnsiTheme="minorHAnsi" w:cstheme="minorBidi"/>
          <w:sz w:val="22"/>
          <w:szCs w:val="22"/>
        </w:rPr>
      </w:pPr>
      <w:hyperlink w:anchor="_Toc36308991" w:history="1">
        <w:r w:rsidR="00011407" w:rsidRPr="00585AB2">
          <w:rPr>
            <w:rStyle w:val="Hiperveza"/>
          </w:rPr>
          <w:t>10.2.</w:t>
        </w:r>
        <w:r w:rsidR="00011407">
          <w:rPr>
            <w:rFonts w:asciiTheme="minorHAnsi" w:eastAsiaTheme="minorEastAsia" w:hAnsiTheme="minorHAnsi" w:cstheme="minorBidi"/>
            <w:sz w:val="22"/>
            <w:szCs w:val="22"/>
          </w:rPr>
          <w:tab/>
        </w:r>
        <w:r w:rsidR="00011407" w:rsidRPr="00585AB2">
          <w:rPr>
            <w:rStyle w:val="Hiperveza"/>
          </w:rPr>
          <w:t>Godišnje savjetovanje službenika za informiranje</w:t>
        </w:r>
        <w:r w:rsidR="00011407">
          <w:rPr>
            <w:webHidden/>
          </w:rPr>
          <w:tab/>
        </w:r>
        <w:r w:rsidR="00011407">
          <w:rPr>
            <w:webHidden/>
          </w:rPr>
          <w:fldChar w:fldCharType="begin"/>
        </w:r>
        <w:r w:rsidR="00011407">
          <w:rPr>
            <w:webHidden/>
          </w:rPr>
          <w:instrText xml:space="preserve"> PAGEREF _Toc36308991 \h </w:instrText>
        </w:r>
        <w:r w:rsidR="00011407">
          <w:rPr>
            <w:webHidden/>
          </w:rPr>
        </w:r>
        <w:r w:rsidR="00011407">
          <w:rPr>
            <w:webHidden/>
          </w:rPr>
          <w:fldChar w:fldCharType="separate"/>
        </w:r>
        <w:r w:rsidR="00262992">
          <w:rPr>
            <w:webHidden/>
          </w:rPr>
          <w:t>79</w:t>
        </w:r>
        <w:r w:rsidR="00011407">
          <w:rPr>
            <w:webHidden/>
          </w:rPr>
          <w:fldChar w:fldCharType="end"/>
        </w:r>
      </w:hyperlink>
    </w:p>
    <w:p w14:paraId="718C1D94" w14:textId="10D877FE" w:rsidR="00011407" w:rsidRDefault="00C02639">
      <w:pPr>
        <w:pStyle w:val="Sadraj2"/>
        <w:rPr>
          <w:rFonts w:asciiTheme="minorHAnsi" w:eastAsiaTheme="minorEastAsia" w:hAnsiTheme="minorHAnsi" w:cstheme="minorBidi"/>
          <w:sz w:val="22"/>
          <w:szCs w:val="22"/>
        </w:rPr>
      </w:pPr>
      <w:hyperlink w:anchor="_Toc36308992" w:history="1">
        <w:r w:rsidR="00011407" w:rsidRPr="00585AB2">
          <w:rPr>
            <w:rStyle w:val="Hiperveza"/>
          </w:rPr>
          <w:t>10.3.</w:t>
        </w:r>
        <w:r w:rsidR="00011407">
          <w:rPr>
            <w:rFonts w:asciiTheme="minorHAnsi" w:eastAsiaTheme="minorEastAsia" w:hAnsiTheme="minorHAnsi" w:cstheme="minorBidi"/>
            <w:sz w:val="22"/>
            <w:szCs w:val="22"/>
          </w:rPr>
          <w:tab/>
        </w:r>
        <w:r w:rsidR="00011407" w:rsidRPr="00585AB2">
          <w:rPr>
            <w:rStyle w:val="Hiperveza"/>
          </w:rPr>
          <w:t>Promotivne aktivnosti</w:t>
        </w:r>
        <w:r w:rsidR="00011407">
          <w:rPr>
            <w:webHidden/>
          </w:rPr>
          <w:tab/>
        </w:r>
        <w:r w:rsidR="00011407">
          <w:rPr>
            <w:webHidden/>
          </w:rPr>
          <w:fldChar w:fldCharType="begin"/>
        </w:r>
        <w:r w:rsidR="00011407">
          <w:rPr>
            <w:webHidden/>
          </w:rPr>
          <w:instrText xml:space="preserve"> PAGEREF _Toc36308992 \h </w:instrText>
        </w:r>
        <w:r w:rsidR="00011407">
          <w:rPr>
            <w:webHidden/>
          </w:rPr>
        </w:r>
        <w:r w:rsidR="00011407">
          <w:rPr>
            <w:webHidden/>
          </w:rPr>
          <w:fldChar w:fldCharType="separate"/>
        </w:r>
        <w:r w:rsidR="00262992">
          <w:rPr>
            <w:webHidden/>
          </w:rPr>
          <w:t>81</w:t>
        </w:r>
        <w:r w:rsidR="00011407">
          <w:rPr>
            <w:webHidden/>
          </w:rPr>
          <w:fldChar w:fldCharType="end"/>
        </w:r>
      </w:hyperlink>
    </w:p>
    <w:p w14:paraId="2757BB04" w14:textId="596271A7" w:rsidR="00011407" w:rsidRDefault="00C02639">
      <w:pPr>
        <w:pStyle w:val="Sadraj3"/>
        <w:tabs>
          <w:tab w:val="left" w:pos="1757"/>
        </w:tabs>
        <w:rPr>
          <w:rFonts w:asciiTheme="minorHAnsi" w:eastAsiaTheme="minorEastAsia" w:hAnsiTheme="minorHAnsi" w:cstheme="minorBidi"/>
          <w:sz w:val="22"/>
          <w:szCs w:val="22"/>
        </w:rPr>
      </w:pPr>
      <w:hyperlink w:anchor="_Toc36308993" w:history="1">
        <w:r w:rsidR="00011407" w:rsidRPr="00585AB2">
          <w:rPr>
            <w:rStyle w:val="Hiperveza"/>
            <w:rFonts w:eastAsia="Malgun Gothic"/>
          </w:rPr>
          <w:t>10.3.1.</w:t>
        </w:r>
        <w:r w:rsidR="00011407">
          <w:rPr>
            <w:rFonts w:asciiTheme="minorHAnsi" w:eastAsiaTheme="minorEastAsia" w:hAnsiTheme="minorHAnsi" w:cstheme="minorBidi"/>
            <w:sz w:val="22"/>
            <w:szCs w:val="22"/>
          </w:rPr>
          <w:tab/>
        </w:r>
        <w:r w:rsidR="00011407" w:rsidRPr="00585AB2">
          <w:rPr>
            <w:rStyle w:val="Hiperveza"/>
            <w:rFonts w:eastAsia="Malgun Gothic"/>
          </w:rPr>
          <w:t>Kampanja Pravo na pristup informacijama za mlade: Želim znati, želim sudjelovati</w:t>
        </w:r>
        <w:r w:rsidR="00011407">
          <w:rPr>
            <w:webHidden/>
          </w:rPr>
          <w:tab/>
        </w:r>
        <w:r w:rsidR="00011407">
          <w:rPr>
            <w:webHidden/>
          </w:rPr>
          <w:fldChar w:fldCharType="begin"/>
        </w:r>
        <w:r w:rsidR="00011407">
          <w:rPr>
            <w:webHidden/>
          </w:rPr>
          <w:instrText xml:space="preserve"> PAGEREF _Toc36308993 \h </w:instrText>
        </w:r>
        <w:r w:rsidR="00011407">
          <w:rPr>
            <w:webHidden/>
          </w:rPr>
        </w:r>
        <w:r w:rsidR="00011407">
          <w:rPr>
            <w:webHidden/>
          </w:rPr>
          <w:fldChar w:fldCharType="separate"/>
        </w:r>
        <w:r w:rsidR="00262992">
          <w:rPr>
            <w:webHidden/>
          </w:rPr>
          <w:t>81</w:t>
        </w:r>
        <w:r w:rsidR="00011407">
          <w:rPr>
            <w:webHidden/>
          </w:rPr>
          <w:fldChar w:fldCharType="end"/>
        </w:r>
      </w:hyperlink>
    </w:p>
    <w:p w14:paraId="6BAE52DB" w14:textId="4313B7CD" w:rsidR="00011407" w:rsidRDefault="00C02639">
      <w:pPr>
        <w:pStyle w:val="Sadraj3"/>
        <w:tabs>
          <w:tab w:val="left" w:pos="1757"/>
        </w:tabs>
        <w:rPr>
          <w:rFonts w:asciiTheme="minorHAnsi" w:eastAsiaTheme="minorEastAsia" w:hAnsiTheme="minorHAnsi" w:cstheme="minorBidi"/>
          <w:sz w:val="22"/>
          <w:szCs w:val="22"/>
        </w:rPr>
      </w:pPr>
      <w:hyperlink w:anchor="_Toc36308994" w:history="1">
        <w:r w:rsidR="00011407" w:rsidRPr="00585AB2">
          <w:rPr>
            <w:rStyle w:val="Hiperveza"/>
            <w:rFonts w:eastAsia="Malgun Gothic"/>
          </w:rPr>
          <w:t>10.3.2.</w:t>
        </w:r>
        <w:r w:rsidR="00011407">
          <w:rPr>
            <w:rFonts w:asciiTheme="minorHAnsi" w:eastAsiaTheme="minorEastAsia" w:hAnsiTheme="minorHAnsi" w:cstheme="minorBidi"/>
            <w:sz w:val="22"/>
            <w:szCs w:val="22"/>
          </w:rPr>
          <w:tab/>
        </w:r>
        <w:r w:rsidR="00011407" w:rsidRPr="00585AB2">
          <w:rPr>
            <w:rStyle w:val="Hiperveza"/>
            <w:rFonts w:eastAsia="Malgun Gothic"/>
          </w:rPr>
          <w:t>Ostale promotivne aktivnosti</w:t>
        </w:r>
        <w:r w:rsidR="00011407">
          <w:rPr>
            <w:webHidden/>
          </w:rPr>
          <w:tab/>
        </w:r>
        <w:r w:rsidR="00011407">
          <w:rPr>
            <w:webHidden/>
          </w:rPr>
          <w:fldChar w:fldCharType="begin"/>
        </w:r>
        <w:r w:rsidR="00011407">
          <w:rPr>
            <w:webHidden/>
          </w:rPr>
          <w:instrText xml:space="preserve"> PAGEREF _Toc36308994 \h </w:instrText>
        </w:r>
        <w:r w:rsidR="00011407">
          <w:rPr>
            <w:webHidden/>
          </w:rPr>
        </w:r>
        <w:r w:rsidR="00011407">
          <w:rPr>
            <w:webHidden/>
          </w:rPr>
          <w:fldChar w:fldCharType="separate"/>
        </w:r>
        <w:r w:rsidR="00262992">
          <w:rPr>
            <w:webHidden/>
          </w:rPr>
          <w:t>82</w:t>
        </w:r>
        <w:r w:rsidR="00011407">
          <w:rPr>
            <w:webHidden/>
          </w:rPr>
          <w:fldChar w:fldCharType="end"/>
        </w:r>
      </w:hyperlink>
    </w:p>
    <w:p w14:paraId="19AD8390" w14:textId="34C9953E" w:rsidR="00011407" w:rsidRDefault="00C02639">
      <w:pPr>
        <w:pStyle w:val="Sadraj2"/>
        <w:rPr>
          <w:rFonts w:asciiTheme="minorHAnsi" w:eastAsiaTheme="minorEastAsia" w:hAnsiTheme="minorHAnsi" w:cstheme="minorBidi"/>
          <w:sz w:val="22"/>
          <w:szCs w:val="22"/>
        </w:rPr>
      </w:pPr>
      <w:hyperlink w:anchor="_Toc36308995" w:history="1">
        <w:r w:rsidR="00011407" w:rsidRPr="00585AB2">
          <w:rPr>
            <w:rStyle w:val="Hiperveza"/>
            <w:lang w:eastAsia="ko-KR"/>
          </w:rPr>
          <w:t>10.4.</w:t>
        </w:r>
        <w:r w:rsidR="00011407">
          <w:rPr>
            <w:rFonts w:asciiTheme="minorHAnsi" w:eastAsiaTheme="minorEastAsia" w:hAnsiTheme="minorHAnsi" w:cstheme="minorBidi"/>
            <w:sz w:val="22"/>
            <w:szCs w:val="22"/>
          </w:rPr>
          <w:tab/>
        </w:r>
        <w:r w:rsidR="00011407" w:rsidRPr="00585AB2">
          <w:rPr>
            <w:rStyle w:val="Hiperveza"/>
            <w:lang w:eastAsia="ko-KR"/>
          </w:rPr>
          <w:t>Informiranje javnosti</w:t>
        </w:r>
        <w:r w:rsidR="00011407">
          <w:rPr>
            <w:webHidden/>
          </w:rPr>
          <w:tab/>
        </w:r>
        <w:r w:rsidR="00011407">
          <w:rPr>
            <w:webHidden/>
          </w:rPr>
          <w:fldChar w:fldCharType="begin"/>
        </w:r>
        <w:r w:rsidR="00011407">
          <w:rPr>
            <w:webHidden/>
          </w:rPr>
          <w:instrText xml:space="preserve"> PAGEREF _Toc36308995 \h </w:instrText>
        </w:r>
        <w:r w:rsidR="00011407">
          <w:rPr>
            <w:webHidden/>
          </w:rPr>
        </w:r>
        <w:r w:rsidR="00011407">
          <w:rPr>
            <w:webHidden/>
          </w:rPr>
          <w:fldChar w:fldCharType="separate"/>
        </w:r>
        <w:r w:rsidR="00262992">
          <w:rPr>
            <w:webHidden/>
          </w:rPr>
          <w:t>83</w:t>
        </w:r>
        <w:r w:rsidR="00011407">
          <w:rPr>
            <w:webHidden/>
          </w:rPr>
          <w:fldChar w:fldCharType="end"/>
        </w:r>
      </w:hyperlink>
    </w:p>
    <w:p w14:paraId="309CE349" w14:textId="299FCB29" w:rsidR="00011407" w:rsidRDefault="00C02639">
      <w:pPr>
        <w:pStyle w:val="Sadraj1"/>
        <w:rPr>
          <w:rFonts w:asciiTheme="minorHAnsi" w:eastAsiaTheme="minorEastAsia" w:hAnsiTheme="minorHAnsi" w:cstheme="minorBidi"/>
          <w:b w:val="0"/>
          <w:sz w:val="22"/>
          <w:szCs w:val="22"/>
        </w:rPr>
      </w:pPr>
      <w:hyperlink w:anchor="_Toc36308996" w:history="1">
        <w:r w:rsidR="00011407" w:rsidRPr="00585AB2">
          <w:rPr>
            <w:rStyle w:val="Hiperveza"/>
          </w:rPr>
          <w:t>C) POSTUPANJE POVJERENIKA U DRUGIM PODRUČJIMA</w:t>
        </w:r>
        <w:r w:rsidR="00011407">
          <w:rPr>
            <w:webHidden/>
          </w:rPr>
          <w:tab/>
        </w:r>
        <w:r w:rsidR="00011407">
          <w:rPr>
            <w:webHidden/>
          </w:rPr>
          <w:fldChar w:fldCharType="begin"/>
        </w:r>
        <w:r w:rsidR="00011407">
          <w:rPr>
            <w:webHidden/>
          </w:rPr>
          <w:instrText xml:space="preserve"> PAGEREF _Toc36308996 \h </w:instrText>
        </w:r>
        <w:r w:rsidR="00011407">
          <w:rPr>
            <w:webHidden/>
          </w:rPr>
        </w:r>
        <w:r w:rsidR="00011407">
          <w:rPr>
            <w:webHidden/>
          </w:rPr>
          <w:fldChar w:fldCharType="separate"/>
        </w:r>
        <w:r w:rsidR="00262992">
          <w:rPr>
            <w:webHidden/>
          </w:rPr>
          <w:t>85</w:t>
        </w:r>
        <w:r w:rsidR="00011407">
          <w:rPr>
            <w:webHidden/>
          </w:rPr>
          <w:fldChar w:fldCharType="end"/>
        </w:r>
      </w:hyperlink>
    </w:p>
    <w:p w14:paraId="0DC8354C" w14:textId="5C4167B0" w:rsidR="00011407" w:rsidRDefault="00C02639">
      <w:pPr>
        <w:pStyle w:val="Sadraj1"/>
        <w:rPr>
          <w:rFonts w:asciiTheme="minorHAnsi" w:eastAsiaTheme="minorEastAsia" w:hAnsiTheme="minorHAnsi" w:cstheme="minorBidi"/>
          <w:b w:val="0"/>
          <w:sz w:val="22"/>
          <w:szCs w:val="22"/>
        </w:rPr>
      </w:pPr>
      <w:hyperlink w:anchor="_Toc36308997" w:history="1">
        <w:r w:rsidR="00011407" w:rsidRPr="00585AB2">
          <w:rPr>
            <w:rStyle w:val="Hiperveza"/>
            <w:rFonts w:eastAsia="SimSun"/>
            <w:lang w:eastAsia="zh-CN"/>
          </w:rPr>
          <w:t>11.</w:t>
        </w:r>
        <w:r w:rsidR="00011407">
          <w:rPr>
            <w:rFonts w:asciiTheme="minorHAnsi" w:eastAsiaTheme="minorEastAsia" w:hAnsiTheme="minorHAnsi" w:cstheme="minorBidi"/>
            <w:b w:val="0"/>
            <w:sz w:val="22"/>
            <w:szCs w:val="22"/>
          </w:rPr>
          <w:tab/>
        </w:r>
        <w:r w:rsidR="00011407" w:rsidRPr="00585AB2">
          <w:rPr>
            <w:rStyle w:val="Hiperveza"/>
            <w:rFonts w:eastAsia="SimSun"/>
            <w:lang w:eastAsia="zh-CN"/>
          </w:rPr>
          <w:t>Dostupnost i</w:t>
        </w:r>
        <w:r w:rsidR="00011407" w:rsidRPr="00585AB2">
          <w:rPr>
            <w:rStyle w:val="Hiperveza"/>
          </w:rPr>
          <w:t>nformacija o okolišu</w:t>
        </w:r>
        <w:r w:rsidR="00011407">
          <w:rPr>
            <w:webHidden/>
          </w:rPr>
          <w:tab/>
        </w:r>
        <w:r w:rsidR="00011407">
          <w:rPr>
            <w:webHidden/>
          </w:rPr>
          <w:fldChar w:fldCharType="begin"/>
        </w:r>
        <w:r w:rsidR="00011407">
          <w:rPr>
            <w:webHidden/>
          </w:rPr>
          <w:instrText xml:space="preserve"> PAGEREF _Toc36308997 \h </w:instrText>
        </w:r>
        <w:r w:rsidR="00011407">
          <w:rPr>
            <w:webHidden/>
          </w:rPr>
        </w:r>
        <w:r w:rsidR="00011407">
          <w:rPr>
            <w:webHidden/>
          </w:rPr>
          <w:fldChar w:fldCharType="separate"/>
        </w:r>
        <w:r w:rsidR="00262992">
          <w:rPr>
            <w:webHidden/>
          </w:rPr>
          <w:t>85</w:t>
        </w:r>
        <w:r w:rsidR="00011407">
          <w:rPr>
            <w:webHidden/>
          </w:rPr>
          <w:fldChar w:fldCharType="end"/>
        </w:r>
      </w:hyperlink>
    </w:p>
    <w:p w14:paraId="54B16CEA" w14:textId="5D3C6CD7" w:rsidR="00011407" w:rsidRDefault="00C02639">
      <w:pPr>
        <w:pStyle w:val="Sadraj1"/>
        <w:rPr>
          <w:rFonts w:asciiTheme="minorHAnsi" w:eastAsiaTheme="minorEastAsia" w:hAnsiTheme="minorHAnsi" w:cstheme="minorBidi"/>
          <w:b w:val="0"/>
          <w:sz w:val="22"/>
          <w:szCs w:val="22"/>
        </w:rPr>
      </w:pPr>
      <w:hyperlink w:anchor="_Toc36308998" w:history="1">
        <w:r w:rsidR="00011407" w:rsidRPr="00585AB2">
          <w:rPr>
            <w:rStyle w:val="Hiperveza"/>
          </w:rPr>
          <w:t>12.</w:t>
        </w:r>
        <w:r w:rsidR="00011407">
          <w:rPr>
            <w:rFonts w:asciiTheme="minorHAnsi" w:eastAsiaTheme="minorEastAsia" w:hAnsiTheme="minorHAnsi" w:cstheme="minorBidi"/>
            <w:b w:val="0"/>
            <w:sz w:val="22"/>
            <w:szCs w:val="22"/>
          </w:rPr>
          <w:tab/>
        </w:r>
        <w:r w:rsidR="00011407" w:rsidRPr="00585AB2">
          <w:rPr>
            <w:rStyle w:val="Hiperveza"/>
          </w:rPr>
          <w:t>Dostupnost arhivskog gradiva</w:t>
        </w:r>
        <w:r w:rsidR="00011407">
          <w:rPr>
            <w:webHidden/>
          </w:rPr>
          <w:tab/>
        </w:r>
        <w:r w:rsidR="00011407">
          <w:rPr>
            <w:webHidden/>
          </w:rPr>
          <w:fldChar w:fldCharType="begin"/>
        </w:r>
        <w:r w:rsidR="00011407">
          <w:rPr>
            <w:webHidden/>
          </w:rPr>
          <w:instrText xml:space="preserve"> PAGEREF _Toc36308998 \h </w:instrText>
        </w:r>
        <w:r w:rsidR="00011407">
          <w:rPr>
            <w:webHidden/>
          </w:rPr>
        </w:r>
        <w:r w:rsidR="00011407">
          <w:rPr>
            <w:webHidden/>
          </w:rPr>
          <w:fldChar w:fldCharType="separate"/>
        </w:r>
        <w:r w:rsidR="00262992">
          <w:rPr>
            <w:webHidden/>
          </w:rPr>
          <w:t>87</w:t>
        </w:r>
        <w:r w:rsidR="00011407">
          <w:rPr>
            <w:webHidden/>
          </w:rPr>
          <w:fldChar w:fldCharType="end"/>
        </w:r>
      </w:hyperlink>
    </w:p>
    <w:p w14:paraId="35AC31B6" w14:textId="1392DCEE" w:rsidR="00011407" w:rsidRDefault="00C02639">
      <w:pPr>
        <w:pStyle w:val="Sadraj1"/>
        <w:rPr>
          <w:rFonts w:asciiTheme="minorHAnsi" w:eastAsiaTheme="minorEastAsia" w:hAnsiTheme="minorHAnsi" w:cstheme="minorBidi"/>
          <w:b w:val="0"/>
          <w:sz w:val="22"/>
          <w:szCs w:val="22"/>
        </w:rPr>
      </w:pPr>
      <w:hyperlink w:anchor="_Toc36308999" w:history="1">
        <w:r w:rsidR="00011407" w:rsidRPr="00585AB2">
          <w:rPr>
            <w:rStyle w:val="Hiperveza"/>
            <w:lang w:eastAsia="en-US"/>
          </w:rPr>
          <w:t>13.</w:t>
        </w:r>
        <w:r w:rsidR="00011407">
          <w:rPr>
            <w:rFonts w:asciiTheme="minorHAnsi" w:eastAsiaTheme="minorEastAsia" w:hAnsiTheme="minorHAnsi" w:cstheme="minorBidi"/>
            <w:b w:val="0"/>
            <w:sz w:val="22"/>
            <w:szCs w:val="22"/>
          </w:rPr>
          <w:tab/>
        </w:r>
        <w:r w:rsidR="00011407" w:rsidRPr="00585AB2">
          <w:rPr>
            <w:rStyle w:val="Hiperveza"/>
            <w:lang w:eastAsia="en-US"/>
          </w:rPr>
          <w:t>Digitalna pristupačnost</w:t>
        </w:r>
        <w:r w:rsidR="00011407">
          <w:rPr>
            <w:webHidden/>
          </w:rPr>
          <w:tab/>
        </w:r>
        <w:r w:rsidR="00011407">
          <w:rPr>
            <w:webHidden/>
          </w:rPr>
          <w:fldChar w:fldCharType="begin"/>
        </w:r>
        <w:r w:rsidR="00011407">
          <w:rPr>
            <w:webHidden/>
          </w:rPr>
          <w:instrText xml:space="preserve"> PAGEREF _Toc36308999 \h </w:instrText>
        </w:r>
        <w:r w:rsidR="00011407">
          <w:rPr>
            <w:webHidden/>
          </w:rPr>
        </w:r>
        <w:r w:rsidR="00011407">
          <w:rPr>
            <w:webHidden/>
          </w:rPr>
          <w:fldChar w:fldCharType="separate"/>
        </w:r>
        <w:r w:rsidR="00262992">
          <w:rPr>
            <w:webHidden/>
          </w:rPr>
          <w:t>87</w:t>
        </w:r>
        <w:r w:rsidR="00011407">
          <w:rPr>
            <w:webHidden/>
          </w:rPr>
          <w:fldChar w:fldCharType="end"/>
        </w:r>
      </w:hyperlink>
    </w:p>
    <w:p w14:paraId="29FBF1C1" w14:textId="16CFDEEF" w:rsidR="00011407" w:rsidRDefault="00C02639">
      <w:pPr>
        <w:pStyle w:val="Sadraj1"/>
        <w:rPr>
          <w:rFonts w:asciiTheme="minorHAnsi" w:eastAsiaTheme="minorEastAsia" w:hAnsiTheme="minorHAnsi" w:cstheme="minorBidi"/>
          <w:b w:val="0"/>
          <w:sz w:val="22"/>
          <w:szCs w:val="22"/>
        </w:rPr>
      </w:pPr>
      <w:hyperlink w:anchor="_Toc36309000" w:history="1">
        <w:r w:rsidR="00011407" w:rsidRPr="00585AB2">
          <w:rPr>
            <w:rStyle w:val="Hiperveza"/>
          </w:rPr>
          <w:t>D) URED POVJERENIKA</w:t>
        </w:r>
        <w:r w:rsidR="00011407">
          <w:rPr>
            <w:webHidden/>
          </w:rPr>
          <w:tab/>
        </w:r>
        <w:r w:rsidR="00011407">
          <w:rPr>
            <w:webHidden/>
          </w:rPr>
          <w:fldChar w:fldCharType="begin"/>
        </w:r>
        <w:r w:rsidR="00011407">
          <w:rPr>
            <w:webHidden/>
          </w:rPr>
          <w:instrText xml:space="preserve"> PAGEREF _Toc36309000 \h </w:instrText>
        </w:r>
        <w:r w:rsidR="00011407">
          <w:rPr>
            <w:webHidden/>
          </w:rPr>
        </w:r>
        <w:r w:rsidR="00011407">
          <w:rPr>
            <w:webHidden/>
          </w:rPr>
          <w:fldChar w:fldCharType="separate"/>
        </w:r>
        <w:r w:rsidR="00262992">
          <w:rPr>
            <w:webHidden/>
          </w:rPr>
          <w:t>89</w:t>
        </w:r>
        <w:r w:rsidR="00011407">
          <w:rPr>
            <w:webHidden/>
          </w:rPr>
          <w:fldChar w:fldCharType="end"/>
        </w:r>
      </w:hyperlink>
    </w:p>
    <w:p w14:paraId="41763C66" w14:textId="3262D286" w:rsidR="00011407" w:rsidRDefault="00C02639">
      <w:pPr>
        <w:pStyle w:val="Sadraj1"/>
        <w:rPr>
          <w:rFonts w:asciiTheme="minorHAnsi" w:eastAsiaTheme="minorEastAsia" w:hAnsiTheme="minorHAnsi" w:cstheme="minorBidi"/>
          <w:b w:val="0"/>
          <w:sz w:val="22"/>
          <w:szCs w:val="22"/>
        </w:rPr>
      </w:pPr>
      <w:hyperlink w:anchor="_Toc36309001" w:history="1">
        <w:r w:rsidR="00011407" w:rsidRPr="00585AB2">
          <w:rPr>
            <w:rStyle w:val="Hiperveza"/>
          </w:rPr>
          <w:t>14.</w:t>
        </w:r>
        <w:r w:rsidR="00011407">
          <w:rPr>
            <w:rFonts w:asciiTheme="minorHAnsi" w:eastAsiaTheme="minorEastAsia" w:hAnsiTheme="minorHAnsi" w:cstheme="minorBidi"/>
            <w:b w:val="0"/>
            <w:sz w:val="22"/>
            <w:szCs w:val="22"/>
          </w:rPr>
          <w:tab/>
        </w:r>
        <w:r w:rsidR="00011407" w:rsidRPr="00585AB2">
          <w:rPr>
            <w:rStyle w:val="Hiperveza"/>
          </w:rPr>
          <w:t>Službenici Ureda povjerenika</w:t>
        </w:r>
        <w:r w:rsidR="00011407">
          <w:rPr>
            <w:webHidden/>
          </w:rPr>
          <w:tab/>
        </w:r>
        <w:r w:rsidR="00011407">
          <w:rPr>
            <w:webHidden/>
          </w:rPr>
          <w:fldChar w:fldCharType="begin"/>
        </w:r>
        <w:r w:rsidR="00011407">
          <w:rPr>
            <w:webHidden/>
          </w:rPr>
          <w:instrText xml:space="preserve"> PAGEREF _Toc36309001 \h </w:instrText>
        </w:r>
        <w:r w:rsidR="00011407">
          <w:rPr>
            <w:webHidden/>
          </w:rPr>
        </w:r>
        <w:r w:rsidR="00011407">
          <w:rPr>
            <w:webHidden/>
          </w:rPr>
          <w:fldChar w:fldCharType="separate"/>
        </w:r>
        <w:r w:rsidR="00262992">
          <w:rPr>
            <w:webHidden/>
          </w:rPr>
          <w:t>89</w:t>
        </w:r>
        <w:r w:rsidR="00011407">
          <w:rPr>
            <w:webHidden/>
          </w:rPr>
          <w:fldChar w:fldCharType="end"/>
        </w:r>
      </w:hyperlink>
    </w:p>
    <w:p w14:paraId="6FF7F33D" w14:textId="0A9C288C" w:rsidR="00011407" w:rsidRDefault="00C02639">
      <w:pPr>
        <w:pStyle w:val="Sadraj1"/>
        <w:rPr>
          <w:rFonts w:asciiTheme="minorHAnsi" w:eastAsiaTheme="minorEastAsia" w:hAnsiTheme="minorHAnsi" w:cstheme="minorBidi"/>
          <w:b w:val="0"/>
          <w:sz w:val="22"/>
          <w:szCs w:val="22"/>
        </w:rPr>
      </w:pPr>
      <w:hyperlink w:anchor="_Toc36309002" w:history="1">
        <w:r w:rsidR="00011407" w:rsidRPr="00585AB2">
          <w:rPr>
            <w:rStyle w:val="Hiperveza"/>
          </w:rPr>
          <w:t>15.</w:t>
        </w:r>
        <w:r w:rsidR="00011407">
          <w:rPr>
            <w:rFonts w:asciiTheme="minorHAnsi" w:eastAsiaTheme="minorEastAsia" w:hAnsiTheme="minorHAnsi" w:cstheme="minorBidi"/>
            <w:b w:val="0"/>
            <w:sz w:val="22"/>
            <w:szCs w:val="22"/>
          </w:rPr>
          <w:tab/>
        </w:r>
        <w:r w:rsidR="00011407" w:rsidRPr="00585AB2">
          <w:rPr>
            <w:rStyle w:val="Hiperveza"/>
          </w:rPr>
          <w:t>Financiranje Ureda povjerenika</w:t>
        </w:r>
        <w:r w:rsidR="00011407">
          <w:rPr>
            <w:webHidden/>
          </w:rPr>
          <w:tab/>
        </w:r>
        <w:r w:rsidR="00011407">
          <w:rPr>
            <w:webHidden/>
          </w:rPr>
          <w:fldChar w:fldCharType="begin"/>
        </w:r>
        <w:r w:rsidR="00011407">
          <w:rPr>
            <w:webHidden/>
          </w:rPr>
          <w:instrText xml:space="preserve"> PAGEREF _Toc36309002 \h </w:instrText>
        </w:r>
        <w:r w:rsidR="00011407">
          <w:rPr>
            <w:webHidden/>
          </w:rPr>
        </w:r>
        <w:r w:rsidR="00011407">
          <w:rPr>
            <w:webHidden/>
          </w:rPr>
          <w:fldChar w:fldCharType="separate"/>
        </w:r>
        <w:r w:rsidR="00262992">
          <w:rPr>
            <w:webHidden/>
          </w:rPr>
          <w:t>89</w:t>
        </w:r>
        <w:r w:rsidR="00011407">
          <w:rPr>
            <w:webHidden/>
          </w:rPr>
          <w:fldChar w:fldCharType="end"/>
        </w:r>
      </w:hyperlink>
    </w:p>
    <w:p w14:paraId="163B515D" w14:textId="6ACC243E" w:rsidR="00011407" w:rsidRDefault="00C02639">
      <w:pPr>
        <w:pStyle w:val="Sadraj1"/>
        <w:rPr>
          <w:rFonts w:asciiTheme="minorHAnsi" w:eastAsiaTheme="minorEastAsia" w:hAnsiTheme="minorHAnsi" w:cstheme="minorBidi"/>
          <w:b w:val="0"/>
          <w:sz w:val="22"/>
          <w:szCs w:val="22"/>
        </w:rPr>
      </w:pPr>
      <w:hyperlink w:anchor="_Toc36309003" w:history="1">
        <w:r w:rsidR="00011407" w:rsidRPr="00585AB2">
          <w:rPr>
            <w:rStyle w:val="Hiperveza"/>
          </w:rPr>
          <w:t>16.</w:t>
        </w:r>
        <w:r w:rsidR="00011407">
          <w:rPr>
            <w:rFonts w:asciiTheme="minorHAnsi" w:eastAsiaTheme="minorEastAsia" w:hAnsiTheme="minorHAnsi" w:cstheme="minorBidi"/>
            <w:b w:val="0"/>
            <w:sz w:val="22"/>
            <w:szCs w:val="22"/>
          </w:rPr>
          <w:tab/>
        </w:r>
        <w:r w:rsidR="00011407" w:rsidRPr="00585AB2">
          <w:rPr>
            <w:rStyle w:val="Hiperveza"/>
          </w:rPr>
          <w:t>Aktivnosti Ureda povjerenika</w:t>
        </w:r>
        <w:r w:rsidR="00011407">
          <w:rPr>
            <w:webHidden/>
          </w:rPr>
          <w:tab/>
        </w:r>
        <w:r w:rsidR="00011407">
          <w:rPr>
            <w:webHidden/>
          </w:rPr>
          <w:fldChar w:fldCharType="begin"/>
        </w:r>
        <w:r w:rsidR="00011407">
          <w:rPr>
            <w:webHidden/>
          </w:rPr>
          <w:instrText xml:space="preserve"> PAGEREF _Toc36309003 \h </w:instrText>
        </w:r>
        <w:r w:rsidR="00011407">
          <w:rPr>
            <w:webHidden/>
          </w:rPr>
        </w:r>
        <w:r w:rsidR="00011407">
          <w:rPr>
            <w:webHidden/>
          </w:rPr>
          <w:fldChar w:fldCharType="separate"/>
        </w:r>
        <w:r w:rsidR="00262992">
          <w:rPr>
            <w:webHidden/>
          </w:rPr>
          <w:t>93</w:t>
        </w:r>
        <w:r w:rsidR="00011407">
          <w:rPr>
            <w:webHidden/>
          </w:rPr>
          <w:fldChar w:fldCharType="end"/>
        </w:r>
      </w:hyperlink>
    </w:p>
    <w:p w14:paraId="7CAD2D54" w14:textId="2A8D8030" w:rsidR="00011407" w:rsidRDefault="00C02639">
      <w:pPr>
        <w:pStyle w:val="Sadraj2"/>
        <w:rPr>
          <w:rFonts w:asciiTheme="minorHAnsi" w:eastAsiaTheme="minorEastAsia" w:hAnsiTheme="minorHAnsi" w:cstheme="minorBidi"/>
          <w:sz w:val="22"/>
          <w:szCs w:val="22"/>
        </w:rPr>
      </w:pPr>
      <w:hyperlink w:anchor="_Toc36309004" w:history="1">
        <w:r w:rsidR="00011407" w:rsidRPr="00585AB2">
          <w:rPr>
            <w:rStyle w:val="Hiperveza"/>
          </w:rPr>
          <w:t>16.1.</w:t>
        </w:r>
        <w:r w:rsidR="00011407">
          <w:rPr>
            <w:rFonts w:asciiTheme="minorHAnsi" w:eastAsiaTheme="minorEastAsia" w:hAnsiTheme="minorHAnsi" w:cstheme="minorBidi"/>
            <w:sz w:val="22"/>
            <w:szCs w:val="22"/>
          </w:rPr>
          <w:tab/>
        </w:r>
        <w:r w:rsidR="00011407" w:rsidRPr="00585AB2">
          <w:rPr>
            <w:rStyle w:val="Hiperveza"/>
          </w:rPr>
          <w:t>Predmeti i akti</w:t>
        </w:r>
        <w:r w:rsidR="00011407">
          <w:rPr>
            <w:webHidden/>
          </w:rPr>
          <w:tab/>
        </w:r>
        <w:r w:rsidR="00011407">
          <w:rPr>
            <w:webHidden/>
          </w:rPr>
          <w:fldChar w:fldCharType="begin"/>
        </w:r>
        <w:r w:rsidR="00011407">
          <w:rPr>
            <w:webHidden/>
          </w:rPr>
          <w:instrText xml:space="preserve"> PAGEREF _Toc36309004 \h </w:instrText>
        </w:r>
        <w:r w:rsidR="00011407">
          <w:rPr>
            <w:webHidden/>
          </w:rPr>
        </w:r>
        <w:r w:rsidR="00011407">
          <w:rPr>
            <w:webHidden/>
          </w:rPr>
          <w:fldChar w:fldCharType="separate"/>
        </w:r>
        <w:r w:rsidR="00262992">
          <w:rPr>
            <w:webHidden/>
          </w:rPr>
          <w:t>93</w:t>
        </w:r>
        <w:r w:rsidR="00011407">
          <w:rPr>
            <w:webHidden/>
          </w:rPr>
          <w:fldChar w:fldCharType="end"/>
        </w:r>
      </w:hyperlink>
    </w:p>
    <w:p w14:paraId="1AB0F9D6" w14:textId="4684CF0D" w:rsidR="00011407" w:rsidRDefault="00C02639">
      <w:pPr>
        <w:pStyle w:val="Sadraj2"/>
        <w:rPr>
          <w:rFonts w:asciiTheme="minorHAnsi" w:eastAsiaTheme="minorEastAsia" w:hAnsiTheme="minorHAnsi" w:cstheme="minorBidi"/>
          <w:sz w:val="22"/>
          <w:szCs w:val="22"/>
        </w:rPr>
      </w:pPr>
      <w:hyperlink w:anchor="_Toc36309005" w:history="1">
        <w:r w:rsidR="00011407" w:rsidRPr="00585AB2">
          <w:rPr>
            <w:rStyle w:val="Hiperveza"/>
          </w:rPr>
          <w:t>16.2.</w:t>
        </w:r>
        <w:r w:rsidR="00011407">
          <w:rPr>
            <w:rFonts w:asciiTheme="minorHAnsi" w:eastAsiaTheme="minorEastAsia" w:hAnsiTheme="minorHAnsi" w:cstheme="minorBidi"/>
            <w:sz w:val="22"/>
            <w:szCs w:val="22"/>
          </w:rPr>
          <w:tab/>
        </w:r>
        <w:r w:rsidR="00011407" w:rsidRPr="00585AB2">
          <w:rPr>
            <w:rStyle w:val="Hiperveza"/>
            <w:lang w:eastAsia="ko-KR"/>
          </w:rPr>
          <w:t>Upiti korisnika i tijela javne vlasti</w:t>
        </w:r>
        <w:r w:rsidR="00011407">
          <w:rPr>
            <w:webHidden/>
          </w:rPr>
          <w:tab/>
        </w:r>
        <w:r w:rsidR="00011407">
          <w:rPr>
            <w:webHidden/>
          </w:rPr>
          <w:fldChar w:fldCharType="begin"/>
        </w:r>
        <w:r w:rsidR="00011407">
          <w:rPr>
            <w:webHidden/>
          </w:rPr>
          <w:instrText xml:space="preserve"> PAGEREF _Toc36309005 \h </w:instrText>
        </w:r>
        <w:r w:rsidR="00011407">
          <w:rPr>
            <w:webHidden/>
          </w:rPr>
        </w:r>
        <w:r w:rsidR="00011407">
          <w:rPr>
            <w:webHidden/>
          </w:rPr>
          <w:fldChar w:fldCharType="separate"/>
        </w:r>
        <w:r w:rsidR="00262992">
          <w:rPr>
            <w:webHidden/>
          </w:rPr>
          <w:t>94</w:t>
        </w:r>
        <w:r w:rsidR="00011407">
          <w:rPr>
            <w:webHidden/>
          </w:rPr>
          <w:fldChar w:fldCharType="end"/>
        </w:r>
      </w:hyperlink>
    </w:p>
    <w:p w14:paraId="126D4636" w14:textId="7BE18021" w:rsidR="00011407" w:rsidRDefault="00C02639">
      <w:pPr>
        <w:pStyle w:val="Sadraj2"/>
        <w:rPr>
          <w:rFonts w:asciiTheme="minorHAnsi" w:eastAsiaTheme="minorEastAsia" w:hAnsiTheme="minorHAnsi" w:cstheme="minorBidi"/>
          <w:sz w:val="22"/>
          <w:szCs w:val="22"/>
        </w:rPr>
      </w:pPr>
      <w:hyperlink w:anchor="_Toc36309006" w:history="1">
        <w:r w:rsidR="00011407" w:rsidRPr="00585AB2">
          <w:rPr>
            <w:rStyle w:val="Hiperveza"/>
          </w:rPr>
          <w:t>16.3.</w:t>
        </w:r>
        <w:r w:rsidR="00011407">
          <w:rPr>
            <w:rFonts w:asciiTheme="minorHAnsi" w:eastAsiaTheme="minorEastAsia" w:hAnsiTheme="minorHAnsi" w:cstheme="minorBidi"/>
            <w:sz w:val="22"/>
            <w:szCs w:val="22"/>
          </w:rPr>
          <w:tab/>
        </w:r>
        <w:r w:rsidR="00011407" w:rsidRPr="00585AB2">
          <w:rPr>
            <w:rStyle w:val="Hiperveza"/>
          </w:rPr>
          <w:t>Smjernice i upute</w:t>
        </w:r>
        <w:r w:rsidR="00011407">
          <w:rPr>
            <w:webHidden/>
          </w:rPr>
          <w:tab/>
        </w:r>
        <w:r w:rsidR="00011407">
          <w:rPr>
            <w:webHidden/>
          </w:rPr>
          <w:fldChar w:fldCharType="begin"/>
        </w:r>
        <w:r w:rsidR="00011407">
          <w:rPr>
            <w:webHidden/>
          </w:rPr>
          <w:instrText xml:space="preserve"> PAGEREF _Toc36309006 \h </w:instrText>
        </w:r>
        <w:r w:rsidR="00011407">
          <w:rPr>
            <w:webHidden/>
          </w:rPr>
        </w:r>
        <w:r w:rsidR="00011407">
          <w:rPr>
            <w:webHidden/>
          </w:rPr>
          <w:fldChar w:fldCharType="separate"/>
        </w:r>
        <w:r w:rsidR="00262992">
          <w:rPr>
            <w:webHidden/>
          </w:rPr>
          <w:t>97</w:t>
        </w:r>
        <w:r w:rsidR="00011407">
          <w:rPr>
            <w:webHidden/>
          </w:rPr>
          <w:fldChar w:fldCharType="end"/>
        </w:r>
      </w:hyperlink>
    </w:p>
    <w:p w14:paraId="052B3354" w14:textId="5B548510" w:rsidR="00011407" w:rsidRDefault="00C02639">
      <w:pPr>
        <w:pStyle w:val="Sadraj2"/>
        <w:rPr>
          <w:rFonts w:asciiTheme="minorHAnsi" w:eastAsiaTheme="minorEastAsia" w:hAnsiTheme="minorHAnsi" w:cstheme="minorBidi"/>
          <w:sz w:val="22"/>
          <w:szCs w:val="22"/>
        </w:rPr>
      </w:pPr>
      <w:hyperlink w:anchor="_Toc36309007" w:history="1">
        <w:r w:rsidR="00011407" w:rsidRPr="00585AB2">
          <w:rPr>
            <w:rStyle w:val="Hiperveza"/>
          </w:rPr>
          <w:t>16.4.</w:t>
        </w:r>
        <w:r w:rsidR="00011407">
          <w:rPr>
            <w:rFonts w:asciiTheme="minorHAnsi" w:eastAsiaTheme="minorEastAsia" w:hAnsiTheme="minorHAnsi" w:cstheme="minorBidi"/>
            <w:sz w:val="22"/>
            <w:szCs w:val="22"/>
          </w:rPr>
          <w:tab/>
        </w:r>
        <w:r w:rsidR="00011407" w:rsidRPr="00585AB2">
          <w:rPr>
            <w:rStyle w:val="Hiperveza"/>
          </w:rPr>
          <w:t>Suradnja i projekti</w:t>
        </w:r>
        <w:r w:rsidR="00011407">
          <w:rPr>
            <w:webHidden/>
          </w:rPr>
          <w:tab/>
        </w:r>
        <w:r w:rsidR="00011407">
          <w:rPr>
            <w:webHidden/>
          </w:rPr>
          <w:fldChar w:fldCharType="begin"/>
        </w:r>
        <w:r w:rsidR="00011407">
          <w:rPr>
            <w:webHidden/>
          </w:rPr>
          <w:instrText xml:space="preserve"> PAGEREF _Toc36309007 \h </w:instrText>
        </w:r>
        <w:r w:rsidR="00011407">
          <w:rPr>
            <w:webHidden/>
          </w:rPr>
        </w:r>
        <w:r w:rsidR="00011407">
          <w:rPr>
            <w:webHidden/>
          </w:rPr>
          <w:fldChar w:fldCharType="separate"/>
        </w:r>
        <w:r w:rsidR="00262992">
          <w:rPr>
            <w:webHidden/>
          </w:rPr>
          <w:t>98</w:t>
        </w:r>
        <w:r w:rsidR="00011407">
          <w:rPr>
            <w:webHidden/>
          </w:rPr>
          <w:fldChar w:fldCharType="end"/>
        </w:r>
      </w:hyperlink>
    </w:p>
    <w:p w14:paraId="655CC959" w14:textId="0A633F29" w:rsidR="00011407" w:rsidRDefault="00C02639">
      <w:pPr>
        <w:pStyle w:val="Sadraj3"/>
        <w:tabs>
          <w:tab w:val="left" w:pos="1757"/>
        </w:tabs>
        <w:rPr>
          <w:rFonts w:asciiTheme="minorHAnsi" w:eastAsiaTheme="minorEastAsia" w:hAnsiTheme="minorHAnsi" w:cstheme="minorBidi"/>
          <w:sz w:val="22"/>
          <w:szCs w:val="22"/>
        </w:rPr>
      </w:pPr>
      <w:hyperlink w:anchor="_Toc36309008" w:history="1">
        <w:r w:rsidR="00011407" w:rsidRPr="00585AB2">
          <w:rPr>
            <w:rStyle w:val="Hiperveza"/>
            <w:lang w:eastAsia="ko-KR"/>
          </w:rPr>
          <w:t>16.4.1.</w:t>
        </w:r>
        <w:r w:rsidR="00011407">
          <w:rPr>
            <w:rFonts w:asciiTheme="minorHAnsi" w:eastAsiaTheme="minorEastAsia" w:hAnsiTheme="minorHAnsi" w:cstheme="minorBidi"/>
            <w:sz w:val="22"/>
            <w:szCs w:val="22"/>
          </w:rPr>
          <w:tab/>
        </w:r>
        <w:r w:rsidR="00011407" w:rsidRPr="00585AB2">
          <w:rPr>
            <w:rStyle w:val="Hiperveza"/>
            <w:lang w:eastAsia="ko-KR"/>
          </w:rPr>
          <w:t>Međuinstitucionalna suradnja</w:t>
        </w:r>
        <w:r w:rsidR="00011407">
          <w:rPr>
            <w:webHidden/>
          </w:rPr>
          <w:tab/>
        </w:r>
        <w:r w:rsidR="00011407">
          <w:rPr>
            <w:webHidden/>
          </w:rPr>
          <w:fldChar w:fldCharType="begin"/>
        </w:r>
        <w:r w:rsidR="00011407">
          <w:rPr>
            <w:webHidden/>
          </w:rPr>
          <w:instrText xml:space="preserve"> PAGEREF _Toc36309008 \h </w:instrText>
        </w:r>
        <w:r w:rsidR="00011407">
          <w:rPr>
            <w:webHidden/>
          </w:rPr>
        </w:r>
        <w:r w:rsidR="00011407">
          <w:rPr>
            <w:webHidden/>
          </w:rPr>
          <w:fldChar w:fldCharType="separate"/>
        </w:r>
        <w:r w:rsidR="00262992">
          <w:rPr>
            <w:webHidden/>
          </w:rPr>
          <w:t>98</w:t>
        </w:r>
        <w:r w:rsidR="00011407">
          <w:rPr>
            <w:webHidden/>
          </w:rPr>
          <w:fldChar w:fldCharType="end"/>
        </w:r>
      </w:hyperlink>
    </w:p>
    <w:p w14:paraId="33A53F23" w14:textId="2D86C542" w:rsidR="00011407" w:rsidRDefault="00C02639">
      <w:pPr>
        <w:pStyle w:val="Sadraj3"/>
        <w:tabs>
          <w:tab w:val="left" w:pos="1757"/>
        </w:tabs>
        <w:rPr>
          <w:rFonts w:asciiTheme="minorHAnsi" w:eastAsiaTheme="minorEastAsia" w:hAnsiTheme="minorHAnsi" w:cstheme="minorBidi"/>
          <w:sz w:val="22"/>
          <w:szCs w:val="22"/>
        </w:rPr>
      </w:pPr>
      <w:hyperlink w:anchor="_Toc36309009" w:history="1">
        <w:r w:rsidR="00011407" w:rsidRPr="00585AB2">
          <w:rPr>
            <w:rStyle w:val="Hiperveza"/>
            <w:lang w:eastAsia="ko-KR"/>
          </w:rPr>
          <w:t>16.4.2.</w:t>
        </w:r>
        <w:r w:rsidR="00011407">
          <w:rPr>
            <w:rFonts w:asciiTheme="minorHAnsi" w:eastAsiaTheme="minorEastAsia" w:hAnsiTheme="minorHAnsi" w:cstheme="minorBidi"/>
            <w:sz w:val="22"/>
            <w:szCs w:val="22"/>
          </w:rPr>
          <w:tab/>
        </w:r>
        <w:r w:rsidR="00011407" w:rsidRPr="00585AB2">
          <w:rPr>
            <w:rStyle w:val="Hiperveza"/>
            <w:lang w:eastAsia="ko-KR"/>
          </w:rPr>
          <w:t>Međunarodna suradnja i projekti</w:t>
        </w:r>
        <w:r w:rsidR="00011407">
          <w:rPr>
            <w:webHidden/>
          </w:rPr>
          <w:tab/>
        </w:r>
        <w:r w:rsidR="00011407">
          <w:rPr>
            <w:webHidden/>
          </w:rPr>
          <w:fldChar w:fldCharType="begin"/>
        </w:r>
        <w:r w:rsidR="00011407">
          <w:rPr>
            <w:webHidden/>
          </w:rPr>
          <w:instrText xml:space="preserve"> PAGEREF _Toc36309009 \h </w:instrText>
        </w:r>
        <w:r w:rsidR="00011407">
          <w:rPr>
            <w:webHidden/>
          </w:rPr>
        </w:r>
        <w:r w:rsidR="00011407">
          <w:rPr>
            <w:webHidden/>
          </w:rPr>
          <w:fldChar w:fldCharType="separate"/>
        </w:r>
        <w:r w:rsidR="00262992">
          <w:rPr>
            <w:webHidden/>
          </w:rPr>
          <w:t>99</w:t>
        </w:r>
        <w:r w:rsidR="00011407">
          <w:rPr>
            <w:webHidden/>
          </w:rPr>
          <w:fldChar w:fldCharType="end"/>
        </w:r>
      </w:hyperlink>
    </w:p>
    <w:p w14:paraId="6573F974" w14:textId="0C6811F9" w:rsidR="00011407" w:rsidRDefault="00C02639">
      <w:pPr>
        <w:pStyle w:val="Sadraj1"/>
        <w:rPr>
          <w:rFonts w:asciiTheme="minorHAnsi" w:eastAsiaTheme="minorEastAsia" w:hAnsiTheme="minorHAnsi" w:cstheme="minorBidi"/>
          <w:b w:val="0"/>
          <w:sz w:val="22"/>
          <w:szCs w:val="22"/>
        </w:rPr>
      </w:pPr>
      <w:hyperlink w:anchor="_Toc36309010" w:history="1">
        <w:r w:rsidR="00011407" w:rsidRPr="00585AB2">
          <w:rPr>
            <w:rStyle w:val="Hiperveza"/>
          </w:rPr>
          <w:t>E) OCJENA STANJA, PRIORITETI DJELOVANJA, PRIJEDLOZI I PREPORUKE ZA OTKLANJANJE NEDOSTATAKA I NEPRAVILNOSTI</w:t>
        </w:r>
        <w:r w:rsidR="00011407">
          <w:rPr>
            <w:webHidden/>
          </w:rPr>
          <w:tab/>
        </w:r>
        <w:r w:rsidR="00011407">
          <w:rPr>
            <w:webHidden/>
          </w:rPr>
          <w:fldChar w:fldCharType="begin"/>
        </w:r>
        <w:r w:rsidR="00011407">
          <w:rPr>
            <w:webHidden/>
          </w:rPr>
          <w:instrText xml:space="preserve"> PAGEREF _Toc36309010 \h </w:instrText>
        </w:r>
        <w:r w:rsidR="00011407">
          <w:rPr>
            <w:webHidden/>
          </w:rPr>
        </w:r>
        <w:r w:rsidR="00011407">
          <w:rPr>
            <w:webHidden/>
          </w:rPr>
          <w:fldChar w:fldCharType="separate"/>
        </w:r>
        <w:r w:rsidR="00262992">
          <w:rPr>
            <w:webHidden/>
          </w:rPr>
          <w:t>102</w:t>
        </w:r>
        <w:r w:rsidR="00011407">
          <w:rPr>
            <w:webHidden/>
          </w:rPr>
          <w:fldChar w:fldCharType="end"/>
        </w:r>
      </w:hyperlink>
    </w:p>
    <w:p w14:paraId="2D35CBE1" w14:textId="280D89A6" w:rsidR="00011407" w:rsidRDefault="00C02639">
      <w:pPr>
        <w:pStyle w:val="Sadraj1"/>
        <w:rPr>
          <w:rFonts w:asciiTheme="minorHAnsi" w:eastAsiaTheme="minorEastAsia" w:hAnsiTheme="minorHAnsi" w:cstheme="minorBidi"/>
          <w:b w:val="0"/>
          <w:sz w:val="22"/>
          <w:szCs w:val="22"/>
        </w:rPr>
      </w:pPr>
      <w:hyperlink w:anchor="_Toc36309011" w:history="1">
        <w:r w:rsidR="00011407" w:rsidRPr="00585AB2">
          <w:rPr>
            <w:rStyle w:val="Hiperveza"/>
          </w:rPr>
          <w:t>17.</w:t>
        </w:r>
        <w:r w:rsidR="00011407">
          <w:rPr>
            <w:rFonts w:asciiTheme="minorHAnsi" w:eastAsiaTheme="minorEastAsia" w:hAnsiTheme="minorHAnsi" w:cstheme="minorBidi"/>
            <w:b w:val="0"/>
            <w:sz w:val="22"/>
            <w:szCs w:val="22"/>
          </w:rPr>
          <w:tab/>
        </w:r>
        <w:r w:rsidR="00011407" w:rsidRPr="00585AB2">
          <w:rPr>
            <w:rStyle w:val="Hiperveza"/>
          </w:rPr>
          <w:t>Ocjena stanja provedbe Zakona u 2019.</w:t>
        </w:r>
        <w:r w:rsidR="00011407">
          <w:rPr>
            <w:webHidden/>
          </w:rPr>
          <w:tab/>
        </w:r>
        <w:r w:rsidR="00011407">
          <w:rPr>
            <w:webHidden/>
          </w:rPr>
          <w:fldChar w:fldCharType="begin"/>
        </w:r>
        <w:r w:rsidR="00011407">
          <w:rPr>
            <w:webHidden/>
          </w:rPr>
          <w:instrText xml:space="preserve"> PAGEREF _Toc36309011 \h </w:instrText>
        </w:r>
        <w:r w:rsidR="00011407">
          <w:rPr>
            <w:webHidden/>
          </w:rPr>
        </w:r>
        <w:r w:rsidR="00011407">
          <w:rPr>
            <w:webHidden/>
          </w:rPr>
          <w:fldChar w:fldCharType="separate"/>
        </w:r>
        <w:r w:rsidR="00262992">
          <w:rPr>
            <w:webHidden/>
          </w:rPr>
          <w:t>102</w:t>
        </w:r>
        <w:r w:rsidR="00011407">
          <w:rPr>
            <w:webHidden/>
          </w:rPr>
          <w:fldChar w:fldCharType="end"/>
        </w:r>
      </w:hyperlink>
    </w:p>
    <w:p w14:paraId="03DB506E" w14:textId="34A7D3F9" w:rsidR="00011407" w:rsidRDefault="00C02639">
      <w:pPr>
        <w:pStyle w:val="Sadraj2"/>
        <w:rPr>
          <w:rFonts w:asciiTheme="minorHAnsi" w:eastAsiaTheme="minorEastAsia" w:hAnsiTheme="minorHAnsi" w:cstheme="minorBidi"/>
          <w:sz w:val="22"/>
          <w:szCs w:val="22"/>
        </w:rPr>
      </w:pPr>
      <w:hyperlink w:anchor="_Toc36309012" w:history="1">
        <w:r w:rsidR="00011407" w:rsidRPr="00585AB2">
          <w:rPr>
            <w:rStyle w:val="Hiperveza"/>
            <w:rFonts w:cs="Segoe UI"/>
          </w:rPr>
          <w:t>17.1.</w:t>
        </w:r>
        <w:r w:rsidR="00011407">
          <w:rPr>
            <w:rFonts w:asciiTheme="minorHAnsi" w:eastAsiaTheme="minorEastAsia" w:hAnsiTheme="minorHAnsi" w:cstheme="minorBidi"/>
            <w:sz w:val="22"/>
            <w:szCs w:val="22"/>
          </w:rPr>
          <w:tab/>
        </w:r>
        <w:r w:rsidR="00011407" w:rsidRPr="00585AB2">
          <w:rPr>
            <w:rStyle w:val="Hiperveza"/>
          </w:rPr>
          <w:t>Ocjena postupanja po zahtjevima za pristup informacijama i zaštite prava</w:t>
        </w:r>
        <w:r w:rsidR="00011407">
          <w:rPr>
            <w:webHidden/>
          </w:rPr>
          <w:tab/>
        </w:r>
        <w:r w:rsidR="00011407">
          <w:rPr>
            <w:webHidden/>
          </w:rPr>
          <w:fldChar w:fldCharType="begin"/>
        </w:r>
        <w:r w:rsidR="00011407">
          <w:rPr>
            <w:webHidden/>
          </w:rPr>
          <w:instrText xml:space="preserve"> PAGEREF _Toc36309012 \h </w:instrText>
        </w:r>
        <w:r w:rsidR="00011407">
          <w:rPr>
            <w:webHidden/>
          </w:rPr>
        </w:r>
        <w:r w:rsidR="00011407">
          <w:rPr>
            <w:webHidden/>
          </w:rPr>
          <w:fldChar w:fldCharType="separate"/>
        </w:r>
        <w:r w:rsidR="00262992">
          <w:rPr>
            <w:webHidden/>
          </w:rPr>
          <w:t>103</w:t>
        </w:r>
        <w:r w:rsidR="00011407">
          <w:rPr>
            <w:webHidden/>
          </w:rPr>
          <w:fldChar w:fldCharType="end"/>
        </w:r>
      </w:hyperlink>
    </w:p>
    <w:p w14:paraId="0FA94FB3" w14:textId="1A77FE04" w:rsidR="00011407" w:rsidRDefault="00C02639">
      <w:pPr>
        <w:pStyle w:val="Sadraj2"/>
        <w:rPr>
          <w:rFonts w:asciiTheme="minorHAnsi" w:eastAsiaTheme="minorEastAsia" w:hAnsiTheme="minorHAnsi" w:cstheme="minorBidi"/>
          <w:sz w:val="22"/>
          <w:szCs w:val="22"/>
        </w:rPr>
      </w:pPr>
      <w:hyperlink w:anchor="_Toc36309013" w:history="1">
        <w:r w:rsidR="00011407" w:rsidRPr="00585AB2">
          <w:rPr>
            <w:rStyle w:val="Hiperveza"/>
          </w:rPr>
          <w:t>17.2.</w:t>
        </w:r>
        <w:r w:rsidR="00011407">
          <w:rPr>
            <w:rFonts w:asciiTheme="minorHAnsi" w:eastAsiaTheme="minorEastAsia" w:hAnsiTheme="minorHAnsi" w:cstheme="minorBidi"/>
            <w:sz w:val="22"/>
            <w:szCs w:val="22"/>
          </w:rPr>
          <w:tab/>
        </w:r>
        <w:r w:rsidR="00011407" w:rsidRPr="00585AB2">
          <w:rPr>
            <w:rStyle w:val="Hiperveza"/>
          </w:rPr>
          <w:t>Praćenje i promicanje prava na pristup informacijama</w:t>
        </w:r>
        <w:r w:rsidR="00011407">
          <w:rPr>
            <w:webHidden/>
          </w:rPr>
          <w:tab/>
        </w:r>
        <w:r w:rsidR="00011407">
          <w:rPr>
            <w:webHidden/>
          </w:rPr>
          <w:fldChar w:fldCharType="begin"/>
        </w:r>
        <w:r w:rsidR="00011407">
          <w:rPr>
            <w:webHidden/>
          </w:rPr>
          <w:instrText xml:space="preserve"> PAGEREF _Toc36309013 \h </w:instrText>
        </w:r>
        <w:r w:rsidR="00011407">
          <w:rPr>
            <w:webHidden/>
          </w:rPr>
        </w:r>
        <w:r w:rsidR="00011407">
          <w:rPr>
            <w:webHidden/>
          </w:rPr>
          <w:fldChar w:fldCharType="separate"/>
        </w:r>
        <w:r w:rsidR="00262992">
          <w:rPr>
            <w:webHidden/>
          </w:rPr>
          <w:t>106</w:t>
        </w:r>
        <w:r w:rsidR="00011407">
          <w:rPr>
            <w:webHidden/>
          </w:rPr>
          <w:fldChar w:fldCharType="end"/>
        </w:r>
      </w:hyperlink>
    </w:p>
    <w:p w14:paraId="6D63414B" w14:textId="4B9608C7" w:rsidR="00011407" w:rsidRDefault="00C02639">
      <w:pPr>
        <w:pStyle w:val="Sadraj1"/>
        <w:rPr>
          <w:rFonts w:asciiTheme="minorHAnsi" w:eastAsiaTheme="minorEastAsia" w:hAnsiTheme="minorHAnsi" w:cstheme="minorBidi"/>
          <w:b w:val="0"/>
          <w:sz w:val="22"/>
          <w:szCs w:val="22"/>
        </w:rPr>
      </w:pPr>
      <w:hyperlink w:anchor="_Toc36309014" w:history="1">
        <w:r w:rsidR="00011407" w:rsidRPr="00585AB2">
          <w:rPr>
            <w:rStyle w:val="Hiperveza"/>
            <w:lang w:eastAsia="ko-KR"/>
          </w:rPr>
          <w:t>18.</w:t>
        </w:r>
        <w:r w:rsidR="00011407">
          <w:rPr>
            <w:rFonts w:asciiTheme="minorHAnsi" w:eastAsiaTheme="minorEastAsia" w:hAnsiTheme="minorHAnsi" w:cstheme="minorBidi"/>
            <w:b w:val="0"/>
            <w:sz w:val="22"/>
            <w:szCs w:val="22"/>
          </w:rPr>
          <w:tab/>
        </w:r>
        <w:r w:rsidR="00011407" w:rsidRPr="00585AB2">
          <w:rPr>
            <w:rStyle w:val="Hiperveza"/>
            <w:lang w:eastAsia="ko-KR"/>
          </w:rPr>
          <w:t>Prioriteti djelovanja Povjerenika i Ureda povjerenika u 2020.</w:t>
        </w:r>
        <w:r w:rsidR="00011407">
          <w:rPr>
            <w:webHidden/>
          </w:rPr>
          <w:tab/>
        </w:r>
        <w:r w:rsidR="00011407">
          <w:rPr>
            <w:webHidden/>
          </w:rPr>
          <w:fldChar w:fldCharType="begin"/>
        </w:r>
        <w:r w:rsidR="00011407">
          <w:rPr>
            <w:webHidden/>
          </w:rPr>
          <w:instrText xml:space="preserve"> PAGEREF _Toc36309014 \h </w:instrText>
        </w:r>
        <w:r w:rsidR="00011407">
          <w:rPr>
            <w:webHidden/>
          </w:rPr>
        </w:r>
        <w:r w:rsidR="00011407">
          <w:rPr>
            <w:webHidden/>
          </w:rPr>
          <w:fldChar w:fldCharType="separate"/>
        </w:r>
        <w:r w:rsidR="00262992">
          <w:rPr>
            <w:webHidden/>
          </w:rPr>
          <w:t>109</w:t>
        </w:r>
        <w:r w:rsidR="00011407">
          <w:rPr>
            <w:webHidden/>
          </w:rPr>
          <w:fldChar w:fldCharType="end"/>
        </w:r>
      </w:hyperlink>
    </w:p>
    <w:p w14:paraId="13CCCE17" w14:textId="61872846" w:rsidR="00011407" w:rsidRDefault="00C02639">
      <w:pPr>
        <w:pStyle w:val="Sadraj2"/>
        <w:rPr>
          <w:rFonts w:asciiTheme="minorHAnsi" w:eastAsiaTheme="minorEastAsia" w:hAnsiTheme="minorHAnsi" w:cstheme="minorBidi"/>
          <w:sz w:val="22"/>
          <w:szCs w:val="22"/>
        </w:rPr>
      </w:pPr>
      <w:hyperlink w:anchor="_Toc36309015" w:history="1">
        <w:r w:rsidR="00011407" w:rsidRPr="00585AB2">
          <w:rPr>
            <w:rStyle w:val="Hiperveza"/>
          </w:rPr>
          <w:t>18.1.</w:t>
        </w:r>
        <w:r w:rsidR="00011407">
          <w:rPr>
            <w:rFonts w:asciiTheme="minorHAnsi" w:eastAsiaTheme="minorEastAsia" w:hAnsiTheme="minorHAnsi" w:cstheme="minorBidi"/>
            <w:sz w:val="22"/>
            <w:szCs w:val="22"/>
          </w:rPr>
          <w:tab/>
        </w:r>
        <w:r w:rsidR="00011407" w:rsidRPr="00585AB2">
          <w:rPr>
            <w:rStyle w:val="Hiperveza"/>
          </w:rPr>
          <w:t>Sva područja iz djelokruga Povjerenika</w:t>
        </w:r>
        <w:r w:rsidR="00011407">
          <w:rPr>
            <w:webHidden/>
          </w:rPr>
          <w:tab/>
        </w:r>
        <w:r w:rsidR="00011407">
          <w:rPr>
            <w:webHidden/>
          </w:rPr>
          <w:fldChar w:fldCharType="begin"/>
        </w:r>
        <w:r w:rsidR="00011407">
          <w:rPr>
            <w:webHidden/>
          </w:rPr>
          <w:instrText xml:space="preserve"> PAGEREF _Toc36309015 \h </w:instrText>
        </w:r>
        <w:r w:rsidR="00011407">
          <w:rPr>
            <w:webHidden/>
          </w:rPr>
        </w:r>
        <w:r w:rsidR="00011407">
          <w:rPr>
            <w:webHidden/>
          </w:rPr>
          <w:fldChar w:fldCharType="separate"/>
        </w:r>
        <w:r w:rsidR="00262992">
          <w:rPr>
            <w:webHidden/>
          </w:rPr>
          <w:t>109</w:t>
        </w:r>
        <w:r w:rsidR="00011407">
          <w:rPr>
            <w:webHidden/>
          </w:rPr>
          <w:fldChar w:fldCharType="end"/>
        </w:r>
      </w:hyperlink>
    </w:p>
    <w:p w14:paraId="330AF4F0" w14:textId="21B4171B" w:rsidR="00011407" w:rsidRDefault="00C02639">
      <w:pPr>
        <w:pStyle w:val="Sadraj2"/>
        <w:rPr>
          <w:rFonts w:asciiTheme="minorHAnsi" w:eastAsiaTheme="minorEastAsia" w:hAnsiTheme="minorHAnsi" w:cstheme="minorBidi"/>
          <w:sz w:val="22"/>
          <w:szCs w:val="22"/>
        </w:rPr>
      </w:pPr>
      <w:hyperlink w:anchor="_Toc36309016" w:history="1">
        <w:r w:rsidR="00011407" w:rsidRPr="00585AB2">
          <w:rPr>
            <w:rStyle w:val="Hiperveza"/>
          </w:rPr>
          <w:t>18.2.</w:t>
        </w:r>
        <w:r w:rsidR="00011407">
          <w:rPr>
            <w:rFonts w:asciiTheme="minorHAnsi" w:eastAsiaTheme="minorEastAsia" w:hAnsiTheme="minorHAnsi" w:cstheme="minorBidi"/>
            <w:sz w:val="22"/>
            <w:szCs w:val="22"/>
          </w:rPr>
          <w:tab/>
        </w:r>
        <w:r w:rsidR="00011407" w:rsidRPr="00585AB2">
          <w:rPr>
            <w:rStyle w:val="Hiperveza"/>
          </w:rPr>
          <w:t>Postupanje po zahtjevima korisnika i zaštite prava na pristup informacijama</w:t>
        </w:r>
        <w:r w:rsidR="00011407">
          <w:rPr>
            <w:webHidden/>
          </w:rPr>
          <w:tab/>
        </w:r>
        <w:r w:rsidR="00011407">
          <w:rPr>
            <w:webHidden/>
          </w:rPr>
          <w:fldChar w:fldCharType="begin"/>
        </w:r>
        <w:r w:rsidR="00011407">
          <w:rPr>
            <w:webHidden/>
          </w:rPr>
          <w:instrText xml:space="preserve"> PAGEREF _Toc36309016 \h </w:instrText>
        </w:r>
        <w:r w:rsidR="00011407">
          <w:rPr>
            <w:webHidden/>
          </w:rPr>
        </w:r>
        <w:r w:rsidR="00011407">
          <w:rPr>
            <w:webHidden/>
          </w:rPr>
          <w:fldChar w:fldCharType="separate"/>
        </w:r>
        <w:r w:rsidR="00262992">
          <w:rPr>
            <w:webHidden/>
          </w:rPr>
          <w:t>110</w:t>
        </w:r>
        <w:r w:rsidR="00011407">
          <w:rPr>
            <w:webHidden/>
          </w:rPr>
          <w:fldChar w:fldCharType="end"/>
        </w:r>
      </w:hyperlink>
    </w:p>
    <w:p w14:paraId="466377F3" w14:textId="0272027A" w:rsidR="00011407" w:rsidRDefault="00C02639">
      <w:pPr>
        <w:pStyle w:val="Sadraj2"/>
        <w:rPr>
          <w:rFonts w:asciiTheme="minorHAnsi" w:eastAsiaTheme="minorEastAsia" w:hAnsiTheme="minorHAnsi" w:cstheme="minorBidi"/>
          <w:sz w:val="22"/>
          <w:szCs w:val="22"/>
        </w:rPr>
      </w:pPr>
      <w:hyperlink w:anchor="_Toc36309017" w:history="1">
        <w:r w:rsidR="00011407" w:rsidRPr="00585AB2">
          <w:rPr>
            <w:rStyle w:val="Hiperveza"/>
          </w:rPr>
          <w:t>18.3.</w:t>
        </w:r>
        <w:r w:rsidR="00011407">
          <w:rPr>
            <w:rFonts w:asciiTheme="minorHAnsi" w:eastAsiaTheme="minorEastAsia" w:hAnsiTheme="minorHAnsi" w:cstheme="minorBidi"/>
            <w:sz w:val="22"/>
            <w:szCs w:val="22"/>
          </w:rPr>
          <w:tab/>
        </w:r>
        <w:r w:rsidR="00011407" w:rsidRPr="00585AB2">
          <w:rPr>
            <w:rStyle w:val="Hiperveza"/>
          </w:rPr>
          <w:t>Proaktivna objava informacija</w:t>
        </w:r>
        <w:r w:rsidR="00011407">
          <w:rPr>
            <w:webHidden/>
          </w:rPr>
          <w:tab/>
        </w:r>
        <w:r w:rsidR="00011407">
          <w:rPr>
            <w:webHidden/>
          </w:rPr>
          <w:fldChar w:fldCharType="begin"/>
        </w:r>
        <w:r w:rsidR="00011407">
          <w:rPr>
            <w:webHidden/>
          </w:rPr>
          <w:instrText xml:space="preserve"> PAGEREF _Toc36309017 \h </w:instrText>
        </w:r>
        <w:r w:rsidR="00011407">
          <w:rPr>
            <w:webHidden/>
          </w:rPr>
        </w:r>
        <w:r w:rsidR="00011407">
          <w:rPr>
            <w:webHidden/>
          </w:rPr>
          <w:fldChar w:fldCharType="separate"/>
        </w:r>
        <w:r w:rsidR="00262992">
          <w:rPr>
            <w:webHidden/>
          </w:rPr>
          <w:t>110</w:t>
        </w:r>
        <w:r w:rsidR="00011407">
          <w:rPr>
            <w:webHidden/>
          </w:rPr>
          <w:fldChar w:fldCharType="end"/>
        </w:r>
      </w:hyperlink>
    </w:p>
    <w:p w14:paraId="70FD7A2B" w14:textId="253BB2CF" w:rsidR="00011407" w:rsidRDefault="00C02639">
      <w:pPr>
        <w:pStyle w:val="Sadraj2"/>
        <w:rPr>
          <w:rFonts w:asciiTheme="minorHAnsi" w:eastAsiaTheme="minorEastAsia" w:hAnsiTheme="minorHAnsi" w:cstheme="minorBidi"/>
          <w:sz w:val="22"/>
          <w:szCs w:val="22"/>
        </w:rPr>
      </w:pPr>
      <w:hyperlink w:anchor="_Toc36309018" w:history="1">
        <w:r w:rsidR="00011407" w:rsidRPr="00585AB2">
          <w:rPr>
            <w:rStyle w:val="Hiperveza"/>
          </w:rPr>
          <w:t>18.4.</w:t>
        </w:r>
        <w:r w:rsidR="00011407">
          <w:rPr>
            <w:rFonts w:asciiTheme="minorHAnsi" w:eastAsiaTheme="minorEastAsia" w:hAnsiTheme="minorHAnsi" w:cstheme="minorBidi"/>
            <w:sz w:val="22"/>
            <w:szCs w:val="22"/>
          </w:rPr>
          <w:tab/>
        </w:r>
        <w:r w:rsidR="00011407" w:rsidRPr="00585AB2">
          <w:rPr>
            <w:rStyle w:val="Hiperveza"/>
          </w:rPr>
          <w:t>Osiguranje javnosti rada</w:t>
        </w:r>
        <w:r w:rsidR="00011407">
          <w:rPr>
            <w:webHidden/>
          </w:rPr>
          <w:tab/>
        </w:r>
        <w:r w:rsidR="00011407">
          <w:rPr>
            <w:webHidden/>
          </w:rPr>
          <w:fldChar w:fldCharType="begin"/>
        </w:r>
        <w:r w:rsidR="00011407">
          <w:rPr>
            <w:webHidden/>
          </w:rPr>
          <w:instrText xml:space="preserve"> PAGEREF _Toc36309018 \h </w:instrText>
        </w:r>
        <w:r w:rsidR="00011407">
          <w:rPr>
            <w:webHidden/>
          </w:rPr>
        </w:r>
        <w:r w:rsidR="00011407">
          <w:rPr>
            <w:webHidden/>
          </w:rPr>
          <w:fldChar w:fldCharType="separate"/>
        </w:r>
        <w:r w:rsidR="00262992">
          <w:rPr>
            <w:webHidden/>
          </w:rPr>
          <w:t>110</w:t>
        </w:r>
        <w:r w:rsidR="00011407">
          <w:rPr>
            <w:webHidden/>
          </w:rPr>
          <w:fldChar w:fldCharType="end"/>
        </w:r>
      </w:hyperlink>
    </w:p>
    <w:p w14:paraId="4744BC1B" w14:textId="17672D12" w:rsidR="00011407" w:rsidRDefault="00C02639">
      <w:pPr>
        <w:pStyle w:val="Sadraj2"/>
        <w:rPr>
          <w:rFonts w:asciiTheme="minorHAnsi" w:eastAsiaTheme="minorEastAsia" w:hAnsiTheme="minorHAnsi" w:cstheme="minorBidi"/>
          <w:sz w:val="22"/>
          <w:szCs w:val="22"/>
        </w:rPr>
      </w:pPr>
      <w:hyperlink w:anchor="_Toc36309019" w:history="1">
        <w:r w:rsidR="00011407" w:rsidRPr="00585AB2">
          <w:rPr>
            <w:rStyle w:val="Hiperveza"/>
          </w:rPr>
          <w:t>18.5.</w:t>
        </w:r>
        <w:r w:rsidR="00011407">
          <w:rPr>
            <w:rFonts w:asciiTheme="minorHAnsi" w:eastAsiaTheme="minorEastAsia" w:hAnsiTheme="minorHAnsi" w:cstheme="minorBidi"/>
            <w:sz w:val="22"/>
            <w:szCs w:val="22"/>
          </w:rPr>
          <w:tab/>
        </w:r>
        <w:r w:rsidR="00011407" w:rsidRPr="00585AB2">
          <w:rPr>
            <w:rStyle w:val="Hiperveza"/>
          </w:rPr>
          <w:t>Savjetovanje s javnošću</w:t>
        </w:r>
        <w:r w:rsidR="00011407">
          <w:rPr>
            <w:webHidden/>
          </w:rPr>
          <w:tab/>
        </w:r>
        <w:r w:rsidR="00011407">
          <w:rPr>
            <w:webHidden/>
          </w:rPr>
          <w:fldChar w:fldCharType="begin"/>
        </w:r>
        <w:r w:rsidR="00011407">
          <w:rPr>
            <w:webHidden/>
          </w:rPr>
          <w:instrText xml:space="preserve"> PAGEREF _Toc36309019 \h </w:instrText>
        </w:r>
        <w:r w:rsidR="00011407">
          <w:rPr>
            <w:webHidden/>
          </w:rPr>
        </w:r>
        <w:r w:rsidR="00011407">
          <w:rPr>
            <w:webHidden/>
          </w:rPr>
          <w:fldChar w:fldCharType="separate"/>
        </w:r>
        <w:r w:rsidR="00262992">
          <w:rPr>
            <w:webHidden/>
          </w:rPr>
          <w:t>111</w:t>
        </w:r>
        <w:r w:rsidR="00011407">
          <w:rPr>
            <w:webHidden/>
          </w:rPr>
          <w:fldChar w:fldCharType="end"/>
        </w:r>
      </w:hyperlink>
    </w:p>
    <w:p w14:paraId="32F134A5" w14:textId="576F54D9" w:rsidR="00011407" w:rsidRDefault="00C02639">
      <w:pPr>
        <w:pStyle w:val="Sadraj2"/>
        <w:rPr>
          <w:rFonts w:asciiTheme="minorHAnsi" w:eastAsiaTheme="minorEastAsia" w:hAnsiTheme="minorHAnsi" w:cstheme="minorBidi"/>
          <w:sz w:val="22"/>
          <w:szCs w:val="22"/>
        </w:rPr>
      </w:pPr>
      <w:hyperlink w:anchor="_Toc36309020" w:history="1">
        <w:r w:rsidR="00011407" w:rsidRPr="00585AB2">
          <w:rPr>
            <w:rStyle w:val="Hiperveza"/>
          </w:rPr>
          <w:t>18.6.</w:t>
        </w:r>
        <w:r w:rsidR="00011407">
          <w:rPr>
            <w:rFonts w:asciiTheme="minorHAnsi" w:eastAsiaTheme="minorEastAsia" w:hAnsiTheme="minorHAnsi" w:cstheme="minorBidi"/>
            <w:sz w:val="22"/>
            <w:szCs w:val="22"/>
          </w:rPr>
          <w:tab/>
        </w:r>
        <w:r w:rsidR="00011407" w:rsidRPr="00585AB2">
          <w:rPr>
            <w:rStyle w:val="Hiperveza"/>
          </w:rPr>
          <w:t>Ponovna uporaba informacija</w:t>
        </w:r>
        <w:r w:rsidR="00011407">
          <w:rPr>
            <w:webHidden/>
          </w:rPr>
          <w:tab/>
        </w:r>
        <w:r w:rsidR="00011407">
          <w:rPr>
            <w:webHidden/>
          </w:rPr>
          <w:fldChar w:fldCharType="begin"/>
        </w:r>
        <w:r w:rsidR="00011407">
          <w:rPr>
            <w:webHidden/>
          </w:rPr>
          <w:instrText xml:space="preserve"> PAGEREF _Toc36309020 \h </w:instrText>
        </w:r>
        <w:r w:rsidR="00011407">
          <w:rPr>
            <w:webHidden/>
          </w:rPr>
        </w:r>
        <w:r w:rsidR="00011407">
          <w:rPr>
            <w:webHidden/>
          </w:rPr>
          <w:fldChar w:fldCharType="separate"/>
        </w:r>
        <w:r w:rsidR="00262992">
          <w:rPr>
            <w:webHidden/>
          </w:rPr>
          <w:t>111</w:t>
        </w:r>
        <w:r w:rsidR="00011407">
          <w:rPr>
            <w:webHidden/>
          </w:rPr>
          <w:fldChar w:fldCharType="end"/>
        </w:r>
      </w:hyperlink>
    </w:p>
    <w:p w14:paraId="6A7D79CD" w14:textId="3D558BE0" w:rsidR="00011407" w:rsidRDefault="00C02639">
      <w:pPr>
        <w:pStyle w:val="Sadraj2"/>
        <w:rPr>
          <w:rFonts w:asciiTheme="minorHAnsi" w:eastAsiaTheme="minorEastAsia" w:hAnsiTheme="minorHAnsi" w:cstheme="minorBidi"/>
          <w:sz w:val="22"/>
          <w:szCs w:val="22"/>
        </w:rPr>
      </w:pPr>
      <w:hyperlink w:anchor="_Toc36309021" w:history="1">
        <w:r w:rsidR="00011407" w:rsidRPr="00585AB2">
          <w:rPr>
            <w:rStyle w:val="Hiperveza"/>
          </w:rPr>
          <w:t>18.7.</w:t>
        </w:r>
        <w:r w:rsidR="00011407">
          <w:rPr>
            <w:rFonts w:asciiTheme="minorHAnsi" w:eastAsiaTheme="minorEastAsia" w:hAnsiTheme="minorHAnsi" w:cstheme="minorBidi"/>
            <w:sz w:val="22"/>
            <w:szCs w:val="22"/>
          </w:rPr>
          <w:tab/>
        </w:r>
        <w:r w:rsidR="00011407" w:rsidRPr="00585AB2">
          <w:rPr>
            <w:rStyle w:val="Hiperveza"/>
          </w:rPr>
          <w:t>Ostale aktivnosti – osiguranje pristupačnosti</w:t>
        </w:r>
        <w:r w:rsidR="00011407">
          <w:rPr>
            <w:webHidden/>
          </w:rPr>
          <w:tab/>
        </w:r>
        <w:r w:rsidR="00011407">
          <w:rPr>
            <w:webHidden/>
          </w:rPr>
          <w:fldChar w:fldCharType="begin"/>
        </w:r>
        <w:r w:rsidR="00011407">
          <w:rPr>
            <w:webHidden/>
          </w:rPr>
          <w:instrText xml:space="preserve"> PAGEREF _Toc36309021 \h </w:instrText>
        </w:r>
        <w:r w:rsidR="00011407">
          <w:rPr>
            <w:webHidden/>
          </w:rPr>
        </w:r>
        <w:r w:rsidR="00011407">
          <w:rPr>
            <w:webHidden/>
          </w:rPr>
          <w:fldChar w:fldCharType="separate"/>
        </w:r>
        <w:r w:rsidR="00262992">
          <w:rPr>
            <w:webHidden/>
          </w:rPr>
          <w:t>111</w:t>
        </w:r>
        <w:r w:rsidR="00011407">
          <w:rPr>
            <w:webHidden/>
          </w:rPr>
          <w:fldChar w:fldCharType="end"/>
        </w:r>
      </w:hyperlink>
    </w:p>
    <w:p w14:paraId="6AB6A1D6" w14:textId="64B6C4FA" w:rsidR="00011407" w:rsidRDefault="00C02639">
      <w:pPr>
        <w:pStyle w:val="Sadraj1"/>
        <w:rPr>
          <w:rFonts w:asciiTheme="minorHAnsi" w:eastAsiaTheme="minorEastAsia" w:hAnsiTheme="minorHAnsi" w:cstheme="minorBidi"/>
          <w:b w:val="0"/>
          <w:sz w:val="22"/>
          <w:szCs w:val="22"/>
        </w:rPr>
      </w:pPr>
      <w:hyperlink w:anchor="_Toc36309022" w:history="1">
        <w:r w:rsidR="00011407" w:rsidRPr="00585AB2">
          <w:rPr>
            <w:rStyle w:val="Hiperveza"/>
          </w:rPr>
          <w:t>19.</w:t>
        </w:r>
        <w:r w:rsidR="00011407">
          <w:rPr>
            <w:rFonts w:asciiTheme="minorHAnsi" w:eastAsiaTheme="minorEastAsia" w:hAnsiTheme="minorHAnsi" w:cstheme="minorBidi"/>
            <w:b w:val="0"/>
            <w:sz w:val="22"/>
            <w:szCs w:val="22"/>
          </w:rPr>
          <w:tab/>
        </w:r>
        <w:r w:rsidR="00011407" w:rsidRPr="00585AB2">
          <w:rPr>
            <w:rStyle w:val="Hiperveza"/>
          </w:rPr>
          <w:t>Prijedlozi i preporuke za otklanjanje nedostataka i nepravilnosti</w:t>
        </w:r>
        <w:r w:rsidR="00011407">
          <w:rPr>
            <w:webHidden/>
          </w:rPr>
          <w:tab/>
        </w:r>
        <w:r w:rsidR="00011407">
          <w:rPr>
            <w:webHidden/>
          </w:rPr>
          <w:fldChar w:fldCharType="begin"/>
        </w:r>
        <w:r w:rsidR="00011407">
          <w:rPr>
            <w:webHidden/>
          </w:rPr>
          <w:instrText xml:space="preserve"> PAGEREF _Toc36309022 \h </w:instrText>
        </w:r>
        <w:r w:rsidR="00011407">
          <w:rPr>
            <w:webHidden/>
          </w:rPr>
        </w:r>
        <w:r w:rsidR="00011407">
          <w:rPr>
            <w:webHidden/>
          </w:rPr>
          <w:fldChar w:fldCharType="separate"/>
        </w:r>
        <w:r w:rsidR="00262992">
          <w:rPr>
            <w:webHidden/>
          </w:rPr>
          <w:t>112</w:t>
        </w:r>
        <w:r w:rsidR="00011407">
          <w:rPr>
            <w:webHidden/>
          </w:rPr>
          <w:fldChar w:fldCharType="end"/>
        </w:r>
      </w:hyperlink>
    </w:p>
    <w:p w14:paraId="7B6B6BF3" w14:textId="35277A8C" w:rsidR="00011407" w:rsidRDefault="00C02639">
      <w:pPr>
        <w:pStyle w:val="Sadraj2"/>
        <w:rPr>
          <w:rFonts w:asciiTheme="minorHAnsi" w:eastAsiaTheme="minorEastAsia" w:hAnsiTheme="minorHAnsi" w:cstheme="minorBidi"/>
          <w:sz w:val="22"/>
          <w:szCs w:val="22"/>
        </w:rPr>
      </w:pPr>
      <w:hyperlink w:anchor="_Toc36309023" w:history="1">
        <w:r w:rsidR="00011407" w:rsidRPr="00585AB2">
          <w:rPr>
            <w:rStyle w:val="Hiperveza"/>
          </w:rPr>
          <w:t>19.1.</w:t>
        </w:r>
        <w:r w:rsidR="00011407">
          <w:rPr>
            <w:rFonts w:asciiTheme="minorHAnsi" w:eastAsiaTheme="minorEastAsia" w:hAnsiTheme="minorHAnsi" w:cstheme="minorBidi"/>
            <w:sz w:val="22"/>
            <w:szCs w:val="22"/>
          </w:rPr>
          <w:tab/>
        </w:r>
        <w:r w:rsidR="00011407" w:rsidRPr="00585AB2">
          <w:rPr>
            <w:rStyle w:val="Hiperveza"/>
          </w:rPr>
          <w:t>Prijedlozi i preporuke tijelima javne vlasti</w:t>
        </w:r>
        <w:r w:rsidR="00011407">
          <w:rPr>
            <w:webHidden/>
          </w:rPr>
          <w:tab/>
        </w:r>
        <w:r w:rsidR="00011407">
          <w:rPr>
            <w:webHidden/>
          </w:rPr>
          <w:fldChar w:fldCharType="begin"/>
        </w:r>
        <w:r w:rsidR="00011407">
          <w:rPr>
            <w:webHidden/>
          </w:rPr>
          <w:instrText xml:space="preserve"> PAGEREF _Toc36309023 \h </w:instrText>
        </w:r>
        <w:r w:rsidR="00011407">
          <w:rPr>
            <w:webHidden/>
          </w:rPr>
        </w:r>
        <w:r w:rsidR="00011407">
          <w:rPr>
            <w:webHidden/>
          </w:rPr>
          <w:fldChar w:fldCharType="separate"/>
        </w:r>
        <w:r w:rsidR="00262992">
          <w:rPr>
            <w:webHidden/>
          </w:rPr>
          <w:t>112</w:t>
        </w:r>
        <w:r w:rsidR="00011407">
          <w:rPr>
            <w:webHidden/>
          </w:rPr>
          <w:fldChar w:fldCharType="end"/>
        </w:r>
      </w:hyperlink>
    </w:p>
    <w:p w14:paraId="631947FB" w14:textId="60E3CAC1" w:rsidR="00011407" w:rsidRDefault="00C02639">
      <w:pPr>
        <w:pStyle w:val="Sadraj2"/>
        <w:rPr>
          <w:rFonts w:asciiTheme="minorHAnsi" w:eastAsiaTheme="minorEastAsia" w:hAnsiTheme="minorHAnsi" w:cstheme="minorBidi"/>
          <w:sz w:val="22"/>
          <w:szCs w:val="22"/>
        </w:rPr>
      </w:pPr>
      <w:hyperlink w:anchor="_Toc36309024" w:history="1">
        <w:r w:rsidR="00011407" w:rsidRPr="00585AB2">
          <w:rPr>
            <w:rStyle w:val="Hiperveza"/>
          </w:rPr>
          <w:t>19.2.</w:t>
        </w:r>
        <w:r w:rsidR="00011407">
          <w:rPr>
            <w:rFonts w:asciiTheme="minorHAnsi" w:eastAsiaTheme="minorEastAsia" w:hAnsiTheme="minorHAnsi" w:cstheme="minorBidi"/>
            <w:sz w:val="22"/>
            <w:szCs w:val="22"/>
          </w:rPr>
          <w:tab/>
        </w:r>
        <w:r w:rsidR="00011407" w:rsidRPr="00585AB2">
          <w:rPr>
            <w:rStyle w:val="Hiperveza"/>
          </w:rPr>
          <w:t>Prijedlog noveliranja Zakona o pravu na pristup informacijama</w:t>
        </w:r>
        <w:r w:rsidR="00011407">
          <w:rPr>
            <w:webHidden/>
          </w:rPr>
          <w:tab/>
        </w:r>
        <w:r w:rsidR="00011407">
          <w:rPr>
            <w:webHidden/>
          </w:rPr>
          <w:fldChar w:fldCharType="begin"/>
        </w:r>
        <w:r w:rsidR="00011407">
          <w:rPr>
            <w:webHidden/>
          </w:rPr>
          <w:instrText xml:space="preserve"> PAGEREF _Toc36309024 \h </w:instrText>
        </w:r>
        <w:r w:rsidR="00011407">
          <w:rPr>
            <w:webHidden/>
          </w:rPr>
        </w:r>
        <w:r w:rsidR="00011407">
          <w:rPr>
            <w:webHidden/>
          </w:rPr>
          <w:fldChar w:fldCharType="separate"/>
        </w:r>
        <w:r w:rsidR="00262992">
          <w:rPr>
            <w:webHidden/>
          </w:rPr>
          <w:t>113</w:t>
        </w:r>
        <w:r w:rsidR="00011407">
          <w:rPr>
            <w:webHidden/>
          </w:rPr>
          <w:fldChar w:fldCharType="end"/>
        </w:r>
      </w:hyperlink>
    </w:p>
    <w:p w14:paraId="1DDBB271" w14:textId="5BEB4804" w:rsidR="001D77FC" w:rsidRPr="002E5315" w:rsidRDefault="002C2BCC" w:rsidP="005B2FB3">
      <w:pPr>
        <w:rPr>
          <w:szCs w:val="23"/>
        </w:rPr>
      </w:pPr>
      <w:r w:rsidRPr="002E5315">
        <w:rPr>
          <w:b/>
          <w:szCs w:val="23"/>
        </w:rPr>
        <w:fldChar w:fldCharType="end"/>
      </w:r>
    </w:p>
    <w:p w14:paraId="7A07E9B9" w14:textId="77777777" w:rsidR="0072067D" w:rsidRPr="002E5315" w:rsidRDefault="0072067D" w:rsidP="005B2FB3">
      <w:pPr>
        <w:rPr>
          <w:rFonts w:cs="Segoe UI"/>
        </w:rPr>
        <w:sectPr w:rsidR="0072067D" w:rsidRPr="002E5315" w:rsidSect="00FB54D8">
          <w:headerReference w:type="default" r:id="rId8"/>
          <w:footerReference w:type="default" r:id="rId9"/>
          <w:pgSz w:w="11906" w:h="16838"/>
          <w:pgMar w:top="1417" w:right="1417" w:bottom="1417" w:left="1417" w:header="708" w:footer="708" w:gutter="0"/>
          <w:pgNumType w:start="1"/>
          <w:cols w:space="708"/>
          <w:docGrid w:linePitch="360"/>
        </w:sectPr>
      </w:pPr>
    </w:p>
    <w:p w14:paraId="36C45B4B" w14:textId="2A3B45EC" w:rsidR="00845797" w:rsidRPr="002E5315" w:rsidRDefault="00600926" w:rsidP="00600926">
      <w:pPr>
        <w:keepNext/>
        <w:rPr>
          <w:b/>
          <w:szCs w:val="23"/>
        </w:rPr>
      </w:pPr>
      <w:r w:rsidRPr="002E5315">
        <w:rPr>
          <w:noProof/>
        </w:rPr>
        <w:lastRenderedPageBreak/>
        <w:drawing>
          <wp:inline distT="0" distB="0" distL="0" distR="0" wp14:anchorId="773FD941" wp14:editId="677E796A">
            <wp:extent cx="8876190" cy="5695238"/>
            <wp:effectExtent l="0" t="0" r="127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76190" cy="5695238"/>
                    </a:xfrm>
                    <a:prstGeom prst="rect">
                      <a:avLst/>
                    </a:prstGeom>
                  </pic:spPr>
                </pic:pic>
              </a:graphicData>
            </a:graphic>
          </wp:inline>
        </w:drawing>
      </w:r>
    </w:p>
    <w:p w14:paraId="0CCDC1DB" w14:textId="77777777" w:rsidR="00B7388A" w:rsidRPr="002E5315" w:rsidRDefault="00B7388A" w:rsidP="005B2FB3">
      <w:pPr>
        <w:jc w:val="center"/>
        <w:rPr>
          <w:rFonts w:cs="Segoe UI"/>
        </w:rPr>
        <w:sectPr w:rsidR="00B7388A" w:rsidRPr="002E5315" w:rsidSect="006F2929">
          <w:pgSz w:w="16838" w:h="11906" w:orient="landscape"/>
          <w:pgMar w:top="1417" w:right="1417" w:bottom="1417" w:left="1417" w:header="708" w:footer="708" w:gutter="0"/>
          <w:pgNumType w:start="1"/>
          <w:cols w:space="708"/>
          <w:docGrid w:linePitch="360"/>
        </w:sectPr>
      </w:pPr>
    </w:p>
    <w:p w14:paraId="5A0F026F" w14:textId="3D3E21C6" w:rsidR="00600926" w:rsidRPr="002E5315" w:rsidRDefault="003654CE" w:rsidP="003654CE">
      <w:pPr>
        <w:keepNext/>
        <w:tabs>
          <w:tab w:val="left" w:pos="-1843"/>
        </w:tabs>
        <w:jc w:val="center"/>
        <w:rPr>
          <w:rFonts w:cs="Segoe UI"/>
          <w:b/>
          <w:szCs w:val="23"/>
        </w:rPr>
      </w:pPr>
      <w:r w:rsidRPr="002E5315">
        <w:rPr>
          <w:rFonts w:cs="Segoe UI"/>
          <w:b/>
          <w:szCs w:val="23"/>
        </w:rPr>
        <w:lastRenderedPageBreak/>
        <w:t>PROVEDBA ZPPI-JA ZA 2019. U BROJKAMA</w:t>
      </w:r>
    </w:p>
    <w:p w14:paraId="1D605E02" w14:textId="42CC6FDE" w:rsidR="00AF3479" w:rsidRPr="002E5315" w:rsidRDefault="00AF3479" w:rsidP="00667B23">
      <w:pPr>
        <w:keepNext/>
        <w:tabs>
          <w:tab w:val="left" w:pos="-1843"/>
        </w:tabs>
        <w:rPr>
          <w:rFonts w:cs="Segoe UI"/>
          <w:b/>
          <w:szCs w:val="23"/>
        </w:rPr>
      </w:pPr>
    </w:p>
    <w:p w14:paraId="37EC69FF" w14:textId="77777777" w:rsidR="008B5EEB" w:rsidRPr="002E5315" w:rsidRDefault="008B5EEB" w:rsidP="00667B23">
      <w:pPr>
        <w:keepNext/>
        <w:tabs>
          <w:tab w:val="left" w:pos="-1843"/>
        </w:tabs>
        <w:rPr>
          <w:rFonts w:cs="Segoe UI"/>
          <w:b/>
          <w:szCs w:val="23"/>
        </w:rPr>
      </w:pPr>
    </w:p>
    <w:p w14:paraId="206D3053" w14:textId="4DC0DF20" w:rsidR="00AF3479" w:rsidRPr="002E5315" w:rsidRDefault="00600926" w:rsidP="00667B23">
      <w:pPr>
        <w:keepNext/>
        <w:tabs>
          <w:tab w:val="left" w:pos="-1843"/>
        </w:tabs>
        <w:rPr>
          <w:rFonts w:cs="Segoe UI"/>
          <w:b/>
          <w:szCs w:val="23"/>
        </w:rPr>
      </w:pPr>
      <w:r w:rsidRPr="002E5315">
        <w:rPr>
          <w:rFonts w:cs="Segoe UI"/>
          <w:b/>
          <w:szCs w:val="23"/>
        </w:rPr>
        <w:t>Postupanje tijela javne vlasti</w:t>
      </w:r>
    </w:p>
    <w:p w14:paraId="7B3CBC04" w14:textId="77777777" w:rsidR="0067115C" w:rsidRPr="002E5315" w:rsidRDefault="0067115C" w:rsidP="00667B23">
      <w:pPr>
        <w:keepNext/>
        <w:tabs>
          <w:tab w:val="left" w:pos="-1843"/>
        </w:tabs>
        <w:rPr>
          <w:rFonts w:cs="Segoe UI"/>
          <w:b/>
          <w:szCs w:val="23"/>
        </w:rPr>
      </w:pPr>
    </w:p>
    <w:p w14:paraId="658F768A" w14:textId="2C07EE98" w:rsidR="00667B23" w:rsidRPr="002E5315" w:rsidRDefault="003568DA" w:rsidP="009A25E8">
      <w:pPr>
        <w:keepNext/>
        <w:tabs>
          <w:tab w:val="left" w:pos="-1843"/>
        </w:tabs>
        <w:jc w:val="center"/>
        <w:rPr>
          <w:rFonts w:cs="Segoe UI"/>
          <w:b/>
          <w:szCs w:val="23"/>
        </w:rPr>
      </w:pPr>
      <w:r w:rsidRPr="003568DA">
        <w:rPr>
          <w:noProof/>
        </w:rPr>
        <w:drawing>
          <wp:inline distT="0" distB="0" distL="0" distR="0" wp14:anchorId="4759060D" wp14:editId="51A715A6">
            <wp:extent cx="5760720" cy="722439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7224395"/>
                    </a:xfrm>
                    <a:prstGeom prst="rect">
                      <a:avLst/>
                    </a:prstGeom>
                  </pic:spPr>
                </pic:pic>
              </a:graphicData>
            </a:graphic>
          </wp:inline>
        </w:drawing>
      </w:r>
    </w:p>
    <w:p w14:paraId="1A63749D" w14:textId="77777777" w:rsidR="00AF3479" w:rsidRPr="002E5315" w:rsidRDefault="00AF3479">
      <w:pPr>
        <w:spacing w:after="0" w:line="240" w:lineRule="auto"/>
        <w:jc w:val="left"/>
        <w:rPr>
          <w:rFonts w:cs="Segoe UI"/>
          <w:b/>
          <w:szCs w:val="23"/>
        </w:rPr>
      </w:pPr>
      <w:r w:rsidRPr="002E5315">
        <w:rPr>
          <w:rFonts w:cs="Segoe UI"/>
          <w:b/>
          <w:szCs w:val="23"/>
        </w:rPr>
        <w:br w:type="page"/>
      </w:r>
    </w:p>
    <w:p w14:paraId="40CF6C1C" w14:textId="77777777" w:rsidR="00AF3479" w:rsidRPr="002E5315" w:rsidRDefault="00AF3479" w:rsidP="00667B23">
      <w:pPr>
        <w:keepNext/>
        <w:tabs>
          <w:tab w:val="left" w:pos="-1843"/>
        </w:tabs>
        <w:rPr>
          <w:rFonts w:cs="Segoe UI"/>
          <w:b/>
          <w:szCs w:val="23"/>
        </w:rPr>
      </w:pPr>
    </w:p>
    <w:p w14:paraId="2A618F23" w14:textId="77777777" w:rsidR="00A05CD7" w:rsidRPr="002E5315" w:rsidRDefault="00A05CD7" w:rsidP="00667B23">
      <w:pPr>
        <w:keepNext/>
        <w:tabs>
          <w:tab w:val="left" w:pos="-1843"/>
        </w:tabs>
        <w:rPr>
          <w:rFonts w:cs="Segoe UI"/>
          <w:b/>
          <w:szCs w:val="23"/>
        </w:rPr>
      </w:pPr>
    </w:p>
    <w:p w14:paraId="4BC36C31" w14:textId="46CBC062" w:rsidR="00667B23" w:rsidRPr="002E5315" w:rsidRDefault="00600926" w:rsidP="00667B23">
      <w:pPr>
        <w:keepNext/>
        <w:tabs>
          <w:tab w:val="left" w:pos="-1843"/>
        </w:tabs>
        <w:rPr>
          <w:rFonts w:cs="Segoe UI"/>
          <w:b/>
          <w:szCs w:val="23"/>
        </w:rPr>
      </w:pPr>
      <w:r w:rsidRPr="002E5315">
        <w:rPr>
          <w:rFonts w:cs="Segoe UI"/>
          <w:b/>
          <w:szCs w:val="23"/>
        </w:rPr>
        <w:t>Provedba nadzorne funkcije</w:t>
      </w:r>
    </w:p>
    <w:p w14:paraId="11A04D44" w14:textId="77777777" w:rsidR="0067115C" w:rsidRPr="002E5315" w:rsidRDefault="0067115C" w:rsidP="00667B23">
      <w:pPr>
        <w:keepNext/>
        <w:tabs>
          <w:tab w:val="left" w:pos="-1843"/>
        </w:tabs>
        <w:rPr>
          <w:rFonts w:cs="Segoe UI"/>
          <w:b/>
          <w:szCs w:val="23"/>
        </w:rPr>
      </w:pPr>
    </w:p>
    <w:p w14:paraId="107C9CE7" w14:textId="1185B8FE" w:rsidR="00600926" w:rsidRPr="002E5315" w:rsidRDefault="003568DA" w:rsidP="009A25E8">
      <w:pPr>
        <w:keepNext/>
        <w:tabs>
          <w:tab w:val="left" w:pos="-1843"/>
        </w:tabs>
        <w:jc w:val="center"/>
        <w:rPr>
          <w:rFonts w:cs="Segoe UI"/>
          <w:b/>
          <w:szCs w:val="23"/>
        </w:rPr>
      </w:pPr>
      <w:r w:rsidRPr="003568DA">
        <w:rPr>
          <w:noProof/>
        </w:rPr>
        <w:drawing>
          <wp:inline distT="0" distB="0" distL="0" distR="0" wp14:anchorId="5216A7BD" wp14:editId="664C56B5">
            <wp:extent cx="5760720" cy="7224395"/>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224395"/>
                    </a:xfrm>
                    <a:prstGeom prst="rect">
                      <a:avLst/>
                    </a:prstGeom>
                  </pic:spPr>
                </pic:pic>
              </a:graphicData>
            </a:graphic>
          </wp:inline>
        </w:drawing>
      </w:r>
    </w:p>
    <w:p w14:paraId="7A82D0CD" w14:textId="77777777" w:rsidR="00AF3479" w:rsidRPr="002E5315" w:rsidRDefault="00AF3479">
      <w:pPr>
        <w:spacing w:after="0" w:line="240" w:lineRule="auto"/>
        <w:jc w:val="left"/>
        <w:rPr>
          <w:rFonts w:cs="Segoe UI"/>
          <w:b/>
          <w:szCs w:val="23"/>
        </w:rPr>
      </w:pPr>
      <w:r w:rsidRPr="002E5315">
        <w:rPr>
          <w:rFonts w:cs="Segoe UI"/>
          <w:b/>
          <w:szCs w:val="23"/>
        </w:rPr>
        <w:br w:type="page"/>
      </w:r>
    </w:p>
    <w:p w14:paraId="12E61E06" w14:textId="77777777" w:rsidR="00AF3479" w:rsidRPr="002E5315" w:rsidRDefault="00AF3479" w:rsidP="00667B23">
      <w:pPr>
        <w:keepNext/>
        <w:tabs>
          <w:tab w:val="left" w:pos="-1843"/>
        </w:tabs>
        <w:rPr>
          <w:rFonts w:cs="Segoe UI"/>
          <w:b/>
          <w:szCs w:val="23"/>
        </w:rPr>
      </w:pPr>
    </w:p>
    <w:p w14:paraId="1E0F5CA8" w14:textId="77777777" w:rsidR="00A05CD7" w:rsidRPr="002E5315" w:rsidRDefault="00A05CD7" w:rsidP="00667B23">
      <w:pPr>
        <w:keepNext/>
        <w:tabs>
          <w:tab w:val="left" w:pos="-1843"/>
        </w:tabs>
        <w:rPr>
          <w:rFonts w:cs="Segoe UI"/>
          <w:b/>
          <w:szCs w:val="23"/>
        </w:rPr>
      </w:pPr>
    </w:p>
    <w:p w14:paraId="7EF01D6D" w14:textId="0ADECA58" w:rsidR="00600926" w:rsidRPr="002E5315" w:rsidRDefault="00600926" w:rsidP="00667B23">
      <w:pPr>
        <w:keepNext/>
        <w:tabs>
          <w:tab w:val="left" w:pos="-1843"/>
        </w:tabs>
        <w:rPr>
          <w:rFonts w:cs="Segoe UI"/>
          <w:b/>
          <w:szCs w:val="23"/>
        </w:rPr>
      </w:pPr>
      <w:r w:rsidRPr="002E5315">
        <w:rPr>
          <w:rFonts w:cs="Segoe UI"/>
          <w:b/>
          <w:szCs w:val="23"/>
        </w:rPr>
        <w:t>Provedba edukacijsk</w:t>
      </w:r>
      <w:r w:rsidR="001F5C30" w:rsidRPr="002E5315">
        <w:rPr>
          <w:rFonts w:cs="Segoe UI"/>
          <w:b/>
          <w:szCs w:val="23"/>
        </w:rPr>
        <w:t>ih</w:t>
      </w:r>
      <w:r w:rsidRPr="002E5315">
        <w:rPr>
          <w:rFonts w:cs="Segoe UI"/>
          <w:b/>
          <w:szCs w:val="23"/>
        </w:rPr>
        <w:t xml:space="preserve"> </w:t>
      </w:r>
      <w:r w:rsidR="001F5C30" w:rsidRPr="002E5315">
        <w:rPr>
          <w:rFonts w:cs="Segoe UI"/>
          <w:b/>
          <w:szCs w:val="23"/>
        </w:rPr>
        <w:t>i ostalih aktivnosti</w:t>
      </w:r>
    </w:p>
    <w:p w14:paraId="34B22786" w14:textId="77777777" w:rsidR="0067115C" w:rsidRPr="002E5315" w:rsidRDefault="0067115C" w:rsidP="00667B23">
      <w:pPr>
        <w:keepNext/>
        <w:tabs>
          <w:tab w:val="left" w:pos="-1843"/>
        </w:tabs>
        <w:rPr>
          <w:rFonts w:cs="Segoe UI"/>
          <w:b/>
          <w:szCs w:val="23"/>
        </w:rPr>
      </w:pPr>
    </w:p>
    <w:p w14:paraId="0994EAE7" w14:textId="7C1F2F03" w:rsidR="00600926" w:rsidRPr="002E5315" w:rsidRDefault="003568DA" w:rsidP="009A25E8">
      <w:pPr>
        <w:keepNext/>
        <w:tabs>
          <w:tab w:val="left" w:pos="-1843"/>
        </w:tabs>
        <w:jc w:val="center"/>
        <w:rPr>
          <w:rFonts w:cs="Segoe UI"/>
          <w:b/>
          <w:szCs w:val="23"/>
        </w:rPr>
      </w:pPr>
      <w:r w:rsidRPr="003568DA">
        <w:rPr>
          <w:noProof/>
        </w:rPr>
        <w:drawing>
          <wp:inline distT="0" distB="0" distL="0" distR="0" wp14:anchorId="535B90B5" wp14:editId="5C5169EA">
            <wp:extent cx="5760720" cy="4829810"/>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829810"/>
                    </a:xfrm>
                    <a:prstGeom prst="rect">
                      <a:avLst/>
                    </a:prstGeom>
                  </pic:spPr>
                </pic:pic>
              </a:graphicData>
            </a:graphic>
          </wp:inline>
        </w:drawing>
      </w:r>
    </w:p>
    <w:p w14:paraId="231A6866" w14:textId="14AA7D73" w:rsidR="00200A57" w:rsidRPr="002E5315" w:rsidRDefault="00200A57" w:rsidP="00667B23">
      <w:pPr>
        <w:keepNext/>
        <w:tabs>
          <w:tab w:val="left" w:pos="-1843"/>
        </w:tabs>
        <w:jc w:val="center"/>
        <w:rPr>
          <w:rFonts w:cs="Segoe UI"/>
          <w:b/>
          <w:noProof/>
          <w:szCs w:val="23"/>
        </w:rPr>
      </w:pPr>
    </w:p>
    <w:p w14:paraId="4723C74D" w14:textId="77777777" w:rsidR="002B382B" w:rsidRPr="002E5315" w:rsidRDefault="002B382B" w:rsidP="00667B23">
      <w:pPr>
        <w:keepNext/>
        <w:tabs>
          <w:tab w:val="left" w:pos="-1843"/>
        </w:tabs>
        <w:rPr>
          <w:rFonts w:cs="Segoe UI"/>
          <w:b/>
          <w:sz w:val="20"/>
          <w:szCs w:val="20"/>
        </w:rPr>
      </w:pPr>
    </w:p>
    <w:p w14:paraId="42A1C24B" w14:textId="77777777" w:rsidR="0040151D" w:rsidRPr="002E5315" w:rsidRDefault="0040151D" w:rsidP="005B2FB3">
      <w:pPr>
        <w:pStyle w:val="Sadraj1"/>
        <w:sectPr w:rsidR="0040151D" w:rsidRPr="002E5315" w:rsidSect="009A25E8">
          <w:pgSz w:w="11906" w:h="16838"/>
          <w:pgMar w:top="709" w:right="1417" w:bottom="709" w:left="1417" w:header="708" w:footer="708" w:gutter="0"/>
          <w:pgNumType w:start="1"/>
          <w:cols w:space="708"/>
          <w:docGrid w:linePitch="360"/>
        </w:sectPr>
      </w:pPr>
    </w:p>
    <w:p w14:paraId="52A7919C" w14:textId="3B599553" w:rsidR="00C27483" w:rsidRPr="002E5315" w:rsidRDefault="00390448" w:rsidP="00057C13">
      <w:pPr>
        <w:pStyle w:val="Naslov1"/>
      </w:pPr>
      <w:bookmarkStart w:id="1" w:name="_Toc4486125"/>
      <w:bookmarkStart w:id="2" w:name="_Toc36308910"/>
      <w:r w:rsidRPr="002E5315">
        <w:lastRenderedPageBreak/>
        <w:t>Uvod</w:t>
      </w:r>
      <w:bookmarkEnd w:id="1"/>
      <w:bookmarkEnd w:id="2"/>
    </w:p>
    <w:p w14:paraId="0189E9C3" w14:textId="250A993A" w:rsidR="00C27483" w:rsidRPr="002E5315" w:rsidRDefault="004E78F6" w:rsidP="003D7A17">
      <w:pPr>
        <w:pStyle w:val="Naslov2"/>
      </w:pPr>
      <w:bookmarkStart w:id="3" w:name="_Toc4486126"/>
      <w:bookmarkStart w:id="4" w:name="_Toc36308911"/>
      <w:r w:rsidRPr="002E5315">
        <w:t xml:space="preserve">O </w:t>
      </w:r>
      <w:r w:rsidR="00A00074" w:rsidRPr="002E5315">
        <w:t xml:space="preserve">pravu na </w:t>
      </w:r>
      <w:r w:rsidR="00757668" w:rsidRPr="002E5315">
        <w:t>p</w:t>
      </w:r>
      <w:r w:rsidR="000D1EF4" w:rsidRPr="002E5315">
        <w:t>ristup informacijama</w:t>
      </w:r>
      <w:bookmarkEnd w:id="3"/>
      <w:bookmarkEnd w:id="4"/>
    </w:p>
    <w:p w14:paraId="7A6EAAE6" w14:textId="77777777" w:rsidR="00633D93" w:rsidRDefault="00E441A8" w:rsidP="00AB522B">
      <w:bookmarkStart w:id="5" w:name="_Toc4486127"/>
      <w:r w:rsidRPr="002E5315">
        <w:t>U suvremenom društvu tijela javne vlasti raspolažu iznimno velikim brojem informacija od značaja za javnost. Pravom na pristup informacijama javnog karaktera, kao sastavnicom demokratskih standarda modernih pravnih sustava osigurava se njihova dostupnost najširem krugu korisnika</w:t>
      </w:r>
      <w:r w:rsidR="00633D93">
        <w:t>.</w:t>
      </w:r>
    </w:p>
    <w:p w14:paraId="30862417" w14:textId="77777777" w:rsidR="00633D93" w:rsidRDefault="00E441A8" w:rsidP="00AB522B">
      <w:r w:rsidRPr="002E5315">
        <w:t>Građani i pravne osobe takve informacije, koje su svojevrsno javno dobro, imaju pravo zatražiti i dobiti od tijela javne vlasti</w:t>
      </w:r>
      <w:r w:rsidR="008514A7" w:rsidRPr="002E5315">
        <w:t>,</w:t>
      </w:r>
      <w:r w:rsidRPr="002E5315">
        <w:t xml:space="preserve"> dok je istovremeno pristup informacijama snažan mehanizam za osiguravanje odgovornog i učinkovitog rada tijela javne vlasti, osobito njihova raspolaganja javnim sredstvima. Provedbom ovog prava ostvaruje se transparentnost i otvorenost tijela javne vlasti te omogućuje uključivanje korisnika prava kako u procese demokratskog nadzora institucija, tako i odlučivanja o brojnim pitanjima od pojedinačnog i društvenog interesa</w:t>
      </w:r>
      <w:r w:rsidR="00633D93">
        <w:t>.</w:t>
      </w:r>
    </w:p>
    <w:p w14:paraId="548B1C40" w14:textId="77777777" w:rsidR="00633D93" w:rsidRDefault="00E441A8" w:rsidP="00AB522B">
      <w:r w:rsidRPr="002E5315">
        <w:t>Pristup informacijama ostvaruje se primarno proaktivnom objavom informacija na internetskim stranicama tijela, kao i objavom otvorenih podataka, osiguravanjem javnosti rada te provedbom savjetovanja s javnošću pri donošenju propisa i dokumenata kojima se utječe na interese korisnika, no jednako je važno i garantirano pravo fizičke i pravne osobe da zahtjevom zatraži pristup informaciji ili ponovnu uporabu informacija o kojem se odlučuje u pravno uređenom postupku, s mogućnošću ulaganja žalbe neovisnom tijelu</w:t>
      </w:r>
      <w:r w:rsidR="00633D93">
        <w:t>.</w:t>
      </w:r>
    </w:p>
    <w:p w14:paraId="408EC545" w14:textId="77777777" w:rsidR="00633D93" w:rsidRDefault="00E441A8" w:rsidP="00AB522B">
      <w:r w:rsidRPr="002E5315">
        <w:t>Objavljivanjem, odnosno omogućavanjem pristupa i dostupnosti pravodobne, točne i potpune informacije javnosti osigurava se transparentnost i otvorenost institucija, a građanima omogućava ostvarivanje uloge demokratskih kontrolora njihova rada i rezultata</w:t>
      </w:r>
      <w:r w:rsidR="00633D93">
        <w:t>.</w:t>
      </w:r>
    </w:p>
    <w:p w14:paraId="08B5BF3A" w14:textId="77C7A195" w:rsidR="00E441A8" w:rsidRPr="002E5315" w:rsidRDefault="00E441A8" w:rsidP="00E441A8">
      <w:pPr>
        <w:rPr>
          <w:rFonts w:cs="Calibri"/>
          <w:szCs w:val="23"/>
        </w:rPr>
      </w:pPr>
      <w:r w:rsidRPr="002E5315">
        <w:rPr>
          <w:rFonts w:cs="Calibri"/>
          <w:szCs w:val="23"/>
        </w:rPr>
        <w:t xml:space="preserve">Najsnažnije jamstvo pristupu informacijama tijela javne vlasti je njegova ustavna regulacija. </w:t>
      </w:r>
      <w:r w:rsidRPr="002E5315">
        <w:rPr>
          <w:rFonts w:cs="Calibri"/>
          <w:b/>
          <w:bCs/>
          <w:szCs w:val="23"/>
        </w:rPr>
        <w:t>Člankom 38. stavkom 4. Ustava Republike Hrvatske pravo na pristup informacijama koje posjeduju tijela javne vlasti, utvrđeno je kao pravilo</w:t>
      </w:r>
      <w:r w:rsidRPr="002E5315">
        <w:rPr>
          <w:rFonts w:cs="Calibri"/>
          <w:szCs w:val="23"/>
        </w:rPr>
        <w:t>. Prema ustavnoj odredbi ograničenja prava na pristup informacijama su moguća, ali moraju biti razmjerna naravi potrebe za ograničenjem u svakom pojedinom slučaju, nužna u slobodnom i demokratskom društvu te se mogu propisati samo zakonom.</w:t>
      </w:r>
    </w:p>
    <w:p w14:paraId="73AAD0F4" w14:textId="77777777" w:rsidR="00633D93" w:rsidRDefault="00E441A8" w:rsidP="00E441A8">
      <w:pPr>
        <w:rPr>
          <w:rFonts w:cs="Calibri"/>
          <w:szCs w:val="23"/>
        </w:rPr>
      </w:pPr>
      <w:r w:rsidRPr="002E5315">
        <w:rPr>
          <w:rFonts w:cs="Calibri"/>
          <w:b/>
          <w:bCs/>
          <w:szCs w:val="23"/>
        </w:rPr>
        <w:t xml:space="preserve">Sustavna regulacija ove problematike uređena je Zakonom o pravu na pristup informacijama </w:t>
      </w:r>
      <w:r w:rsidRPr="002E5315">
        <w:rPr>
          <w:rFonts w:cs="Calibri"/>
          <w:szCs w:val="23"/>
        </w:rPr>
        <w:t>(NN 25/13 i 85/15, dalje: ZPPI, Zakon). Zakonom je preuzeta Direktiva Europske unije o ponovnoj uporabi informacija tijela javnog sektora (2003/98/EZ, 2013/37/EU, dalje: PSI Direktiva)</w:t>
      </w:r>
      <w:r w:rsidR="00633D93">
        <w:rPr>
          <w:rFonts w:cs="Calibri"/>
          <w:szCs w:val="23"/>
        </w:rPr>
        <w:t>.</w:t>
      </w:r>
    </w:p>
    <w:p w14:paraId="4FF78C03" w14:textId="4032B086" w:rsidR="00876AA2" w:rsidRPr="002E5315" w:rsidRDefault="00E441A8" w:rsidP="00E441A8">
      <w:pPr>
        <w:rPr>
          <w:rFonts w:cs="Segoe UI"/>
          <w:szCs w:val="23"/>
        </w:rPr>
      </w:pPr>
      <w:r w:rsidRPr="002E5315">
        <w:rPr>
          <w:rFonts w:cs="Calibri"/>
          <w:szCs w:val="23"/>
        </w:rPr>
        <w:t>U primjeni ZPPI-ja relevantne su odredbe niza drugih propisa, od materijalnih propisa koji uređuju posebne vrste informacija (Opća uredba o zaštiti podataka, Zakon o provedbi Opće uredbe o zaštiti podataka, Zakon o tajnosti podataka, Zakon o zaštiti tajnosti podataka, Zakon o arhivskom gradivu i arhivima, Zakon o službenoj statistici, Zakon o autorskom pravu i srodnim pravima, Zakon o medijima itd.), do postupovnih, od kojih je Zakon o općem upravnom postupku od osobita značaja za njegovu primjenu.</w:t>
      </w:r>
    </w:p>
    <w:p w14:paraId="7111E09A" w14:textId="76E9714F" w:rsidR="00B83FC7" w:rsidRPr="002E5315" w:rsidRDefault="00A00074" w:rsidP="00B83FC7">
      <w:pPr>
        <w:pStyle w:val="Naslov2"/>
      </w:pPr>
      <w:bookmarkStart w:id="6" w:name="_Toc36308912"/>
      <w:bookmarkEnd w:id="5"/>
      <w:r w:rsidRPr="002E5315">
        <w:lastRenderedPageBreak/>
        <w:t>Primjena i provedba Zakona o pravu na pristup informacijama</w:t>
      </w:r>
      <w:bookmarkEnd w:id="6"/>
    </w:p>
    <w:p w14:paraId="615021D9" w14:textId="43B3D600" w:rsidR="00E441A8" w:rsidRPr="002E5315" w:rsidRDefault="00E441A8" w:rsidP="00E441A8">
      <w:pPr>
        <w:rPr>
          <w:rFonts w:cs="Calibri"/>
          <w:i/>
          <w:szCs w:val="23"/>
        </w:rPr>
      </w:pPr>
      <w:r w:rsidRPr="002E5315">
        <w:rPr>
          <w:rFonts w:cs="Calibri"/>
          <w:i/>
          <w:szCs w:val="23"/>
        </w:rPr>
        <w:t>Tijela javne vlasti</w:t>
      </w:r>
    </w:p>
    <w:p w14:paraId="3F9AED0A" w14:textId="77777777" w:rsidR="00E441A8" w:rsidRPr="002E5315" w:rsidRDefault="00E441A8" w:rsidP="00E441A8">
      <w:pPr>
        <w:rPr>
          <w:szCs w:val="23"/>
        </w:rPr>
      </w:pPr>
      <w:r w:rsidRPr="002E5315">
        <w:rPr>
          <w:rFonts w:cs="Calibri"/>
          <w:b/>
          <w:szCs w:val="23"/>
        </w:rPr>
        <w:t>Obveznici primjene ZPPI-ja su tijela javne vlasti</w:t>
      </w:r>
      <w:r w:rsidRPr="002E5315">
        <w:rPr>
          <w:rFonts w:cs="Calibri"/>
          <w:szCs w:val="23"/>
        </w:rPr>
        <w:t xml:space="preserve">, definirana člankom 5. stavkom 1. točkom 2., kao: </w:t>
      </w:r>
    </w:p>
    <w:p w14:paraId="35846A3B" w14:textId="77777777" w:rsidR="00E441A8" w:rsidRPr="002E5315" w:rsidRDefault="00E441A8" w:rsidP="000114BF">
      <w:pPr>
        <w:numPr>
          <w:ilvl w:val="0"/>
          <w:numId w:val="14"/>
        </w:numPr>
        <w:contextualSpacing/>
        <w:rPr>
          <w:szCs w:val="23"/>
        </w:rPr>
      </w:pPr>
      <w:r w:rsidRPr="002E5315">
        <w:rPr>
          <w:rFonts w:cs="Calibri"/>
          <w:szCs w:val="23"/>
        </w:rPr>
        <w:t>tijela državne uprave</w:t>
      </w:r>
    </w:p>
    <w:p w14:paraId="33EC2BDB" w14:textId="77777777" w:rsidR="00E441A8" w:rsidRPr="002E5315" w:rsidRDefault="00E441A8" w:rsidP="000114BF">
      <w:pPr>
        <w:numPr>
          <w:ilvl w:val="0"/>
          <w:numId w:val="14"/>
        </w:numPr>
        <w:contextualSpacing/>
        <w:rPr>
          <w:szCs w:val="23"/>
        </w:rPr>
      </w:pPr>
      <w:r w:rsidRPr="002E5315">
        <w:rPr>
          <w:rFonts w:cs="Calibri"/>
          <w:szCs w:val="23"/>
        </w:rPr>
        <w:t>druga državna tijela</w:t>
      </w:r>
    </w:p>
    <w:p w14:paraId="065B42E9" w14:textId="799024C9" w:rsidR="00E441A8" w:rsidRPr="002E5315" w:rsidRDefault="00E441A8" w:rsidP="000114BF">
      <w:pPr>
        <w:numPr>
          <w:ilvl w:val="0"/>
          <w:numId w:val="14"/>
        </w:numPr>
        <w:contextualSpacing/>
        <w:rPr>
          <w:szCs w:val="23"/>
        </w:rPr>
      </w:pPr>
      <w:r w:rsidRPr="002E5315">
        <w:rPr>
          <w:rFonts w:cs="Calibri"/>
          <w:szCs w:val="23"/>
        </w:rPr>
        <w:t>jedinice lokalne i područne (regionalne) samouprave (dalje: JLP(R)S)</w:t>
      </w:r>
    </w:p>
    <w:p w14:paraId="762289A8" w14:textId="77777777" w:rsidR="00E441A8" w:rsidRPr="002E5315" w:rsidRDefault="00E441A8" w:rsidP="000114BF">
      <w:pPr>
        <w:numPr>
          <w:ilvl w:val="0"/>
          <w:numId w:val="14"/>
        </w:numPr>
        <w:contextualSpacing/>
        <w:rPr>
          <w:szCs w:val="23"/>
        </w:rPr>
      </w:pPr>
      <w:r w:rsidRPr="002E5315">
        <w:rPr>
          <w:rFonts w:cs="Calibri"/>
          <w:szCs w:val="23"/>
        </w:rPr>
        <w:t>pravne osobe i druga tijela koja imaju javne ovlasti</w:t>
      </w:r>
    </w:p>
    <w:p w14:paraId="2607E7E5" w14:textId="77777777" w:rsidR="00E441A8" w:rsidRPr="002E5315" w:rsidRDefault="00E441A8" w:rsidP="000114BF">
      <w:pPr>
        <w:numPr>
          <w:ilvl w:val="0"/>
          <w:numId w:val="14"/>
        </w:numPr>
        <w:contextualSpacing/>
        <w:rPr>
          <w:szCs w:val="23"/>
        </w:rPr>
      </w:pPr>
      <w:r w:rsidRPr="002E5315">
        <w:rPr>
          <w:rFonts w:cs="Calibri"/>
          <w:szCs w:val="23"/>
        </w:rPr>
        <w:t>pravne osobe čiji je osnivač Republika Hrvatska ili JLP(R)S</w:t>
      </w:r>
    </w:p>
    <w:p w14:paraId="18580B65" w14:textId="77777777" w:rsidR="00E441A8" w:rsidRPr="002E5315" w:rsidRDefault="00E441A8" w:rsidP="000114BF">
      <w:pPr>
        <w:numPr>
          <w:ilvl w:val="0"/>
          <w:numId w:val="14"/>
        </w:numPr>
        <w:contextualSpacing/>
        <w:rPr>
          <w:szCs w:val="23"/>
        </w:rPr>
      </w:pPr>
      <w:r w:rsidRPr="002E5315">
        <w:rPr>
          <w:rFonts w:cs="Calibri"/>
          <w:szCs w:val="23"/>
        </w:rPr>
        <w:t xml:space="preserve">pravne osobe koje obavljaju javnu službu </w:t>
      </w:r>
    </w:p>
    <w:p w14:paraId="04B9D4F2" w14:textId="77777777" w:rsidR="00E441A8" w:rsidRPr="002E5315" w:rsidRDefault="00E441A8" w:rsidP="000114BF">
      <w:pPr>
        <w:numPr>
          <w:ilvl w:val="0"/>
          <w:numId w:val="14"/>
        </w:numPr>
        <w:contextualSpacing/>
        <w:rPr>
          <w:rFonts w:cs="Calibri"/>
          <w:szCs w:val="23"/>
        </w:rPr>
      </w:pPr>
      <w:r w:rsidRPr="002E5315">
        <w:rPr>
          <w:rFonts w:cs="Calibri"/>
          <w:szCs w:val="23"/>
        </w:rPr>
        <w:t>pravne osobe koje se temeljem posebnog propisa financiraju pretežito ili u cijelosti iz državnog ili iz proračuna JLP(R)S, odnosno iz javnih sredstava</w:t>
      </w:r>
    </w:p>
    <w:p w14:paraId="555F6CF6" w14:textId="714297BE" w:rsidR="00E441A8" w:rsidRPr="002E5315" w:rsidRDefault="00E441A8" w:rsidP="000114BF">
      <w:pPr>
        <w:numPr>
          <w:ilvl w:val="0"/>
          <w:numId w:val="14"/>
        </w:numPr>
        <w:rPr>
          <w:rFonts w:cs="Calibri"/>
          <w:szCs w:val="23"/>
        </w:rPr>
      </w:pPr>
      <w:r w:rsidRPr="002E5315">
        <w:rPr>
          <w:rFonts w:cs="Calibri"/>
          <w:szCs w:val="23"/>
        </w:rPr>
        <w:t>trgovačka društva u kojima Republika Hrvatska i JLP(R)S imaju zasebno ili zajedno većinsko vlasništvo.</w:t>
      </w:r>
    </w:p>
    <w:p w14:paraId="48E40CD5" w14:textId="6E008618" w:rsidR="00E441A8" w:rsidRPr="002E5315" w:rsidRDefault="00E441A8" w:rsidP="00E441A8">
      <w:pPr>
        <w:rPr>
          <w:szCs w:val="23"/>
        </w:rPr>
      </w:pPr>
      <w:r w:rsidRPr="002E5315">
        <w:rPr>
          <w:rFonts w:cs="Calibri"/>
          <w:szCs w:val="23"/>
        </w:rPr>
        <w:t>U svrhu osiguranja lakše primjene ZPPI-ja, Povjerenik za informiranje (</w:t>
      </w:r>
      <w:r w:rsidR="009403EA">
        <w:rPr>
          <w:rFonts w:cs="Calibri"/>
          <w:szCs w:val="23"/>
        </w:rPr>
        <w:t>dalje:</w:t>
      </w:r>
      <w:r w:rsidRPr="002E5315">
        <w:rPr>
          <w:rFonts w:cs="Calibri"/>
          <w:szCs w:val="23"/>
        </w:rPr>
        <w:t xml:space="preserve"> Povjerenik) vodi </w:t>
      </w:r>
      <w:r w:rsidRPr="002E5315">
        <w:rPr>
          <w:rFonts w:cs="Calibri"/>
          <w:b/>
          <w:bCs/>
          <w:szCs w:val="23"/>
        </w:rPr>
        <w:t>instruktivni Popis tijela javne vlasti</w:t>
      </w:r>
      <w:r w:rsidRPr="002E5315">
        <w:rPr>
          <w:rFonts w:cs="Calibri"/>
          <w:szCs w:val="23"/>
        </w:rPr>
        <w:t xml:space="preserve"> (dalje: </w:t>
      </w:r>
      <w:r w:rsidR="004D3B27">
        <w:rPr>
          <w:rFonts w:cs="Calibri"/>
          <w:szCs w:val="23"/>
        </w:rPr>
        <w:t>P</w:t>
      </w:r>
      <w:r w:rsidRPr="002E5315">
        <w:rPr>
          <w:rFonts w:cs="Calibri"/>
          <w:szCs w:val="23"/>
        </w:rPr>
        <w:t xml:space="preserve">opis tijela javne vlasti, Popis), koji, sadrži Registar službenika za informiranje te osnovne kontakt podatke tijela i njihovu kategorizaciju prema osnivaču, pravnom statusu i djelatnosti. Navedena kategorizacija izrađena je za potrebe Popisa i nije u svezi s nacionalnim klasifikacijama koje se koriste za potrebe vođenja drugih registara, primjerice Državnog zavoda za statistiku ili Sudskog registra. Popis je javno dostupan u realnom vremenu, u obliku pretražive aplikacije (tjv.pristupinfo.hr), povezan je s </w:t>
      </w:r>
      <w:r w:rsidRPr="002E5315">
        <w:rPr>
          <w:rFonts w:cs="Calibri"/>
          <w:i/>
          <w:szCs w:val="23"/>
        </w:rPr>
        <w:t>online</w:t>
      </w:r>
      <w:r w:rsidRPr="002E5315">
        <w:rPr>
          <w:rFonts w:cs="Calibri"/>
          <w:szCs w:val="23"/>
        </w:rPr>
        <w:t xml:space="preserve"> aplikacijom za dostavu godišnjih izvješća i može se preuzeti u cijelosti ili djelomično, u otvorenom, CSV formatu te se</w:t>
      </w:r>
      <w:r w:rsidR="00954DB8" w:rsidRPr="002E5315">
        <w:rPr>
          <w:rFonts w:cs="Calibri"/>
          <w:szCs w:val="23"/>
        </w:rPr>
        <w:t xml:space="preserve"> </w:t>
      </w:r>
      <w:r w:rsidRPr="002E5315">
        <w:rPr>
          <w:rFonts w:cs="Calibri"/>
          <w:szCs w:val="23"/>
        </w:rPr>
        <w:t>kontinuirano ažurira.</w:t>
      </w:r>
    </w:p>
    <w:p w14:paraId="6FCD1DB2" w14:textId="68E2CC0C" w:rsidR="00E441A8" w:rsidRPr="002E5315" w:rsidRDefault="00E441A8" w:rsidP="00E441A8">
      <w:pPr>
        <w:rPr>
          <w:rFonts w:cs="Calibri"/>
          <w:szCs w:val="23"/>
        </w:rPr>
      </w:pPr>
      <w:r w:rsidRPr="002E5315">
        <w:rPr>
          <w:rFonts w:cs="Calibri"/>
          <w:szCs w:val="23"/>
        </w:rPr>
        <w:t>Popis je instruktivnog karaktera i ne isključuje postojanje drugih obveznika primjene ZPPI-ja (kao što su primjerice sportski savezi i zajednice na lokalnoj i područnoj (regionalnoj) razini, dobrovoljna vatrogasna društva, društva kćeri, stanice za tehnički pregled, privatne zdravstvene ustanove itd.). Iznimno širokim određivanjem kruga obveznika provedbe Zakona, zakonodavac je djelomice otežao potpunu i pravilnu, ali i svrsishodnu primjenu zakonskih odredbi u praksi (primjerice, na Popisu se nalazi otprilike 130 veterinarskih stanica i ambulanti, koje, iako su trgovačka društva u privatnom vlasništvu, zbog dodijeljenih javnih ovlasti - cijepljenje životinja predstavljaju tijela javne vlasti, a nemaju kapaciteta za ispunjenje svih propisanih obveza, niti je uočen javni interes za informacijama u njihovom posjedu). Stoga smatramo potrebnim</w:t>
      </w:r>
      <w:r w:rsidR="00954DB8" w:rsidRPr="002E5315">
        <w:rPr>
          <w:rFonts w:cs="Calibri"/>
          <w:szCs w:val="23"/>
        </w:rPr>
        <w:t xml:space="preserve"> </w:t>
      </w:r>
      <w:r w:rsidRPr="002E5315">
        <w:rPr>
          <w:rFonts w:cs="Calibri"/>
          <w:szCs w:val="23"/>
        </w:rPr>
        <w:t>razmotriti važeću definiciju tijela javne vlasti i preciznije odrediti opseg zakonskih obveza za pojedine kategorije tijela javne vlasti, poglavito u dijelu proaktivne objave na internetskim stranicama, ali i u dijelu kojim se uređuje osiguravanje javnosti sjednica i provedbe savjetovanja s javnošću.</w:t>
      </w:r>
    </w:p>
    <w:p w14:paraId="27876780" w14:textId="68B39251" w:rsidR="00617D32" w:rsidRPr="002E5315" w:rsidRDefault="00E441A8" w:rsidP="00617D32">
      <w:pPr>
        <w:rPr>
          <w:rFonts w:cs="Calibri"/>
          <w:szCs w:val="23"/>
        </w:rPr>
      </w:pPr>
      <w:r w:rsidRPr="002E5315">
        <w:rPr>
          <w:rFonts w:cs="Calibri"/>
          <w:color w:val="000000"/>
          <w:szCs w:val="23"/>
        </w:rPr>
        <w:t xml:space="preserve">Na Popisu se u trenutku obrade dostavljenih izvješća o provedbi Zakona za 2019. (14. veljače 2020.) nalazilo </w:t>
      </w:r>
      <w:r w:rsidRPr="002E5315">
        <w:rPr>
          <w:rFonts w:cs="Calibri"/>
          <w:b/>
          <w:color w:val="000000"/>
          <w:szCs w:val="23"/>
        </w:rPr>
        <w:t>5.808 tijela javne vlasti</w:t>
      </w:r>
      <w:r w:rsidRPr="002E5315">
        <w:rPr>
          <w:rFonts w:cs="Calibri"/>
          <w:color w:val="000000"/>
          <w:szCs w:val="23"/>
        </w:rPr>
        <w:t xml:space="preserve">, koja su obveznici podnošenja izvješća (godinu ranije bilo ih je </w:t>
      </w:r>
      <w:r w:rsidRPr="002E5315">
        <w:rPr>
          <w:rFonts w:cs="Calibri"/>
          <w:szCs w:val="23"/>
        </w:rPr>
        <w:t>5.797, a odmah po dostavi izvješća s Popisa je uklonjeno 20 ureda državne uprave u županijama, koji su ukinuti od 1. siječnja 2020.).</w:t>
      </w:r>
    </w:p>
    <w:p w14:paraId="2D4AC809" w14:textId="77777777" w:rsidR="00E441A8" w:rsidRPr="002E5315" w:rsidRDefault="00E441A8" w:rsidP="00617D32">
      <w:pPr>
        <w:spacing w:before="240"/>
        <w:rPr>
          <w:rFonts w:cs="Calibri"/>
          <w:i/>
          <w:szCs w:val="23"/>
        </w:rPr>
      </w:pPr>
      <w:r w:rsidRPr="002E5315">
        <w:rPr>
          <w:rFonts w:cs="Calibri"/>
          <w:i/>
          <w:szCs w:val="23"/>
        </w:rPr>
        <w:lastRenderedPageBreak/>
        <w:t>Službenik za informiranje</w:t>
      </w:r>
    </w:p>
    <w:p w14:paraId="28E8D4F7" w14:textId="77777777" w:rsidR="00E441A8" w:rsidRPr="002E5315" w:rsidRDefault="00E441A8" w:rsidP="00E441A8">
      <w:pPr>
        <w:rPr>
          <w:rFonts w:cs="Calibri"/>
          <w:szCs w:val="23"/>
        </w:rPr>
      </w:pPr>
      <w:r w:rsidRPr="002E5315">
        <w:rPr>
          <w:rFonts w:cs="Calibri"/>
          <w:szCs w:val="23"/>
        </w:rPr>
        <w:t>Službenik za informiranje službena je osoba u tijelu javne vlasti mjerodavna za rješavanje ostvarivanja prava na pristup informacijama.</w:t>
      </w:r>
    </w:p>
    <w:p w14:paraId="11C256D4" w14:textId="74366213" w:rsidR="00E441A8" w:rsidRPr="002E5315" w:rsidRDefault="00E441A8" w:rsidP="00E441A8">
      <w:pPr>
        <w:rPr>
          <w:rFonts w:cs="Calibri"/>
          <w:szCs w:val="23"/>
        </w:rPr>
      </w:pPr>
      <w:r w:rsidRPr="002E5315">
        <w:rPr>
          <w:rFonts w:cs="Calibri"/>
          <w:szCs w:val="23"/>
        </w:rPr>
        <w:t>Od navedenih 5.808 tijela, 458 (7,9%) ih u trenutku obrade izvješća nije imalo podatke o službeniku za informiranje, čime su nastavljeni pozitivni pomaci u odnosu na prethodne godine (2018. gotovo 10%, a 2017 više od 12% tijela nije imalo imenovanog službenika). Iako je došlo do smanjenja broja tijela u pojedinima skupinama obveznika primjene ZPPI-ja koja nisu imenovala službenika, još uvijek najveći broj otpada na vatrogasne zajednice (137), komunalna društva (55), veterinarske ambulante (43), dječje vrtiće (39) i turističke zajednice (33) te u manjem dijelu domove za djecu, starije i nemoćne (26), nacionalne sportske saveze (19) i druge ustanove, trgovačka društva i udruge. U kategorijama državnih tijela, tijela državne uprave, agencija i drugih pravnim osoba s javnim ovlastima RH, sva tijela su imenovala službenika. Među JLP(R)S se izdvaja Općina Milna kao jedina jedinica koja nije dostavila odluku o određivanju službenika, dok među ostalim kategorijama obveznika, primjerice, od 26 strukovnih komora</w:t>
      </w:r>
      <w:r w:rsidR="009403EA">
        <w:rPr>
          <w:rFonts w:cs="Calibri"/>
          <w:szCs w:val="23"/>
        </w:rPr>
        <w:t xml:space="preserve"> </w:t>
      </w:r>
      <w:r w:rsidRPr="002E5315">
        <w:rPr>
          <w:rFonts w:cs="Calibri"/>
          <w:szCs w:val="23"/>
        </w:rPr>
        <w:t>(dalje</w:t>
      </w:r>
      <w:r w:rsidR="009403EA">
        <w:rPr>
          <w:rFonts w:cs="Calibri"/>
          <w:szCs w:val="23"/>
        </w:rPr>
        <w:t>:</w:t>
      </w:r>
      <w:r w:rsidRPr="002E5315">
        <w:rPr>
          <w:rFonts w:cs="Calibri"/>
          <w:szCs w:val="23"/>
        </w:rPr>
        <w:t xml:space="preserve"> komora, strukovna komora), jedino Hrvatska komora patentnih zastupnika i zastupnika za žigove, nije odredila</w:t>
      </w:r>
      <w:r w:rsidR="00954DB8" w:rsidRPr="002E5315">
        <w:rPr>
          <w:rFonts w:cs="Calibri"/>
          <w:szCs w:val="23"/>
        </w:rPr>
        <w:t xml:space="preserve"> </w:t>
      </w:r>
      <w:r w:rsidRPr="002E5315">
        <w:rPr>
          <w:rFonts w:cs="Calibri"/>
          <w:szCs w:val="23"/>
        </w:rPr>
        <w:t>službenika za informiranje.</w:t>
      </w:r>
    </w:p>
    <w:p w14:paraId="6789B285" w14:textId="77777777" w:rsidR="00E441A8" w:rsidRPr="002E5315" w:rsidRDefault="00E441A8" w:rsidP="003554FF">
      <w:pPr>
        <w:spacing w:before="240"/>
        <w:rPr>
          <w:rFonts w:cs="Calibri"/>
          <w:bCs/>
          <w:i/>
          <w:iCs/>
          <w:szCs w:val="23"/>
        </w:rPr>
      </w:pPr>
      <w:r w:rsidRPr="002E5315">
        <w:rPr>
          <w:rFonts w:cs="Calibri"/>
          <w:bCs/>
          <w:i/>
          <w:iCs/>
          <w:szCs w:val="23"/>
        </w:rPr>
        <w:t>Povjerenik za informiranje</w:t>
      </w:r>
    </w:p>
    <w:p w14:paraId="32A3EE08" w14:textId="77777777" w:rsidR="00633D93" w:rsidRDefault="00E441A8" w:rsidP="00E441A8">
      <w:pPr>
        <w:rPr>
          <w:rFonts w:cs="Calibri"/>
          <w:szCs w:val="23"/>
        </w:rPr>
      </w:pPr>
      <w:r w:rsidRPr="002E5315">
        <w:rPr>
          <w:rFonts w:cs="Calibri"/>
          <w:szCs w:val="23"/>
        </w:rPr>
        <w:t>Provedbu ZPPI-ja nadzire Povjerenik za informiranje (dalje: Povjerenik), kojeg bira Hrvatski sabor na razdoblje od pet godina, temeljem javnog poziva</w:t>
      </w:r>
      <w:r w:rsidR="00633D93">
        <w:rPr>
          <w:rFonts w:cs="Calibri"/>
          <w:szCs w:val="23"/>
        </w:rPr>
        <w:t>.</w:t>
      </w:r>
    </w:p>
    <w:p w14:paraId="615DA0B6" w14:textId="77777777" w:rsidR="00633D93" w:rsidRDefault="00E441A8" w:rsidP="00E441A8">
      <w:pPr>
        <w:rPr>
          <w:rFonts w:cs="Calibri"/>
          <w:szCs w:val="23"/>
        </w:rPr>
      </w:pPr>
      <w:r w:rsidRPr="002E5315">
        <w:rPr>
          <w:rFonts w:cs="Calibri"/>
          <w:szCs w:val="23"/>
        </w:rPr>
        <w:t>Povjerenik kao neovisno tijelo štiti, prati i promiče pravo na pristup informacijama te ponovnu uporabu informacija u odnosu na oko 5.800 tijela javne vlasti. To čini postupanjem po žalbama i predstavkama građana, provedbom inspekcijskog nadzora, praćenjem stanja i izradom izvješća, pružanjem pomoći i provedbom edukacija za tijela i korisnike, informiranjem javnosti, promocijom transparentnosti i otvorenosti te suradnjom s domaćim institucijama i korisnicima, kao i međunarodnom suradnjom</w:t>
      </w:r>
      <w:r w:rsidR="00633D93">
        <w:rPr>
          <w:rFonts w:cs="Calibri"/>
          <w:szCs w:val="23"/>
        </w:rPr>
        <w:t>.</w:t>
      </w:r>
    </w:p>
    <w:p w14:paraId="6146118D" w14:textId="77777777" w:rsidR="00633D93" w:rsidRDefault="00E441A8" w:rsidP="00E441A8">
      <w:pPr>
        <w:rPr>
          <w:rFonts w:cs="Calibri"/>
          <w:szCs w:val="23"/>
        </w:rPr>
      </w:pPr>
      <w:r w:rsidRPr="002E5315">
        <w:rPr>
          <w:rFonts w:cs="Calibri"/>
          <w:szCs w:val="23"/>
        </w:rPr>
        <w:t>Tijela javne vlasti obvezna su, sukladno smjernicama koje Povjerenik utvrdi, jednom godišnje izvješćivati Povjerenika o provedbi Zakona, dok važnu obvezu Povjerenika predstavlja izrada i podnošenje izvješća Hrvatskom saboru o provedbi ZPPI-ja za prethodnu godinu</w:t>
      </w:r>
      <w:r w:rsidR="00633D93">
        <w:rPr>
          <w:rFonts w:cs="Calibri"/>
          <w:szCs w:val="23"/>
        </w:rPr>
        <w:t>.</w:t>
      </w:r>
    </w:p>
    <w:p w14:paraId="131016D9" w14:textId="5FEB4F17" w:rsidR="00A00074" w:rsidRPr="002E5315" w:rsidRDefault="00990B96" w:rsidP="00306035">
      <w:pPr>
        <w:pStyle w:val="Naslov2"/>
      </w:pPr>
      <w:bookmarkStart w:id="7" w:name="_Toc36308913"/>
      <w:r w:rsidRPr="002E5315">
        <w:t>Godišnja i</w:t>
      </w:r>
      <w:r w:rsidR="00A00074" w:rsidRPr="002E5315">
        <w:t>zvješća o provedbi zakona</w:t>
      </w:r>
      <w:bookmarkEnd w:id="7"/>
    </w:p>
    <w:p w14:paraId="1E0E4B95" w14:textId="77777777" w:rsidR="00CC58C4" w:rsidRPr="002E5315" w:rsidRDefault="00CC58C4" w:rsidP="00C27D70">
      <w:pPr>
        <w:rPr>
          <w:rFonts w:eastAsia="Calibri"/>
          <w:i/>
          <w:iCs/>
        </w:rPr>
      </w:pPr>
      <w:r w:rsidRPr="002E5315">
        <w:rPr>
          <w:rFonts w:eastAsia="Calibri"/>
          <w:i/>
          <w:iCs/>
        </w:rPr>
        <w:t>Godišnja izvješća tijela javne vlasti</w:t>
      </w:r>
    </w:p>
    <w:p w14:paraId="42D779F8" w14:textId="77777777" w:rsidR="00633D93" w:rsidRDefault="00CC58C4" w:rsidP="00CC58C4">
      <w:pPr>
        <w:rPr>
          <w:rFonts w:cs="Segoe UI"/>
          <w:szCs w:val="23"/>
        </w:rPr>
      </w:pPr>
      <w:r w:rsidRPr="002E5315">
        <w:rPr>
          <w:rFonts w:cs="Calibri"/>
          <w:color w:val="000000"/>
          <w:szCs w:val="23"/>
        </w:rPr>
        <w:t xml:space="preserve">U svrhu ispunjenja zakonske obveze, sva tijela s instruktivnog Popisa, </w:t>
      </w:r>
      <w:r w:rsidRPr="002E5315">
        <w:rPr>
          <w:rFonts w:cs="Calibri"/>
          <w:szCs w:val="23"/>
        </w:rPr>
        <w:t xml:space="preserve">elektroničkim su putem pozvana da ispune godišnje izvješće o provedbi Zakona u </w:t>
      </w:r>
      <w:r w:rsidRPr="002E5315">
        <w:rPr>
          <w:rFonts w:cs="Calibri"/>
          <w:color w:val="000000"/>
          <w:szCs w:val="23"/>
        </w:rPr>
        <w:t xml:space="preserve">2019., putem aplikacije </w:t>
      </w:r>
      <w:r w:rsidRPr="002E5315">
        <w:rPr>
          <w:rFonts w:cs="Calibri"/>
          <w:i/>
          <w:color w:val="000000"/>
          <w:szCs w:val="23"/>
        </w:rPr>
        <w:t>Pristupinfo</w:t>
      </w:r>
      <w:r w:rsidRPr="002E5315">
        <w:rPr>
          <w:rFonts w:cs="Calibri"/>
          <w:color w:val="000000"/>
          <w:szCs w:val="23"/>
        </w:rPr>
        <w:t>.</w:t>
      </w:r>
      <w:r w:rsidRPr="002E5315">
        <w:rPr>
          <w:rFonts w:cs="Segoe UI"/>
          <w:szCs w:val="23"/>
        </w:rPr>
        <w:t xml:space="preserve"> Izvješća o provedbi ZPPI-ja su tijela javne vlasti dužna dostaviti Povjereniku </w:t>
      </w:r>
      <w:r w:rsidRPr="002E5315">
        <w:rPr>
          <w:rFonts w:cs="Calibri"/>
          <w:szCs w:val="23"/>
        </w:rPr>
        <w:t xml:space="preserve">do 31. siječnja tekuće godine, u skladu s Odlukom </w:t>
      </w:r>
      <w:r w:rsidRPr="002E5315">
        <w:rPr>
          <w:rFonts w:cs="Segoe UI"/>
          <w:szCs w:val="23"/>
        </w:rPr>
        <w:t>o obrascu i načinu dostave podataka. Rok za dostavu pojedinačnih izvješća tijela javne vlasti produljen je do 10. veljače 2020. zbog naknadnih ispravaka i tehničkih ograničenja s kojima su se suočila pojedina tijela</w:t>
      </w:r>
      <w:r w:rsidR="00633D93">
        <w:rPr>
          <w:rFonts w:cs="Segoe UI"/>
          <w:szCs w:val="23"/>
        </w:rPr>
        <w:t>.</w:t>
      </w:r>
    </w:p>
    <w:p w14:paraId="45B8F765" w14:textId="426BF65F" w:rsidR="00CC58C4" w:rsidRPr="002E5315" w:rsidRDefault="00CC58C4" w:rsidP="00CC58C4">
      <w:pPr>
        <w:rPr>
          <w:rFonts w:cs="Calibri"/>
          <w:color w:val="000000"/>
          <w:szCs w:val="23"/>
        </w:rPr>
      </w:pPr>
      <w:r w:rsidRPr="002E5315">
        <w:rPr>
          <w:rFonts w:cs="Calibri"/>
          <w:color w:val="000000"/>
          <w:szCs w:val="23"/>
        </w:rPr>
        <w:t xml:space="preserve">U trenutku obrade, </w:t>
      </w:r>
      <w:r w:rsidRPr="002E5315">
        <w:rPr>
          <w:rFonts w:cs="Calibri"/>
          <w:b/>
          <w:bCs/>
          <w:color w:val="000000"/>
          <w:szCs w:val="23"/>
        </w:rPr>
        <w:t>izvješće o provedbi Zakona za 2019.</w:t>
      </w:r>
      <w:r w:rsidRPr="002E5315">
        <w:rPr>
          <w:rFonts w:cs="Calibri"/>
          <w:color w:val="000000"/>
          <w:szCs w:val="23"/>
        </w:rPr>
        <w:t xml:space="preserve"> </w:t>
      </w:r>
      <w:r w:rsidRPr="002E5315">
        <w:rPr>
          <w:rFonts w:cs="Calibri"/>
          <w:b/>
          <w:color w:val="000000"/>
          <w:szCs w:val="23"/>
        </w:rPr>
        <w:t xml:space="preserve">dostavilo je 4.985 ili 85,83% </w:t>
      </w:r>
      <w:r w:rsidRPr="002E5315">
        <w:rPr>
          <w:rFonts w:cs="Calibri"/>
          <w:color w:val="000000"/>
          <w:szCs w:val="23"/>
        </w:rPr>
        <w:t xml:space="preserve">od ukupno 5.808 evidentiranih tijela javne vlasti, dok 823 ili 14,17% nije ispunilo svoju zakonsku </w:t>
      </w:r>
      <w:r w:rsidRPr="002E5315">
        <w:rPr>
          <w:rFonts w:cs="Calibri"/>
          <w:color w:val="000000"/>
          <w:szCs w:val="23"/>
        </w:rPr>
        <w:lastRenderedPageBreak/>
        <w:t xml:space="preserve">obvezu. Još 64 tijela započela su s ispunjavanjem izvješća, ali nisu dostavila cjelovito izvješće do isteka roka, stoga predmetni podaci nisu uzeti u obzir prilikom izrade statistike. Razina ispunjenja zakonske obveze dostave izvješća nastavlja blago rasti iz godine u godinu, primjerice, prošle godine je izvješće za 2018. dostavilo 4.856 ili 83,77% od ukupno 5.797 evidentiranih tijela, a njih 941 ili 16,23% to nije učinilo. </w:t>
      </w:r>
      <w:r w:rsidRPr="002E5315">
        <w:rPr>
          <w:rFonts w:cs="Calibri"/>
          <w:szCs w:val="23"/>
        </w:rPr>
        <w:t>Slika 1.1. prikazuje udio dostavljenih izvješća u odnosu na ukupan broj tijela javne vlasti u razdoblju od 2013. do 2019.</w:t>
      </w:r>
    </w:p>
    <w:p w14:paraId="41AC5F56" w14:textId="77777777" w:rsidR="00633D93" w:rsidRDefault="00A00074" w:rsidP="00306035">
      <w:pPr>
        <w:keepNext/>
        <w:spacing w:before="240"/>
        <w:rPr>
          <w:rFonts w:cs="Calibri"/>
          <w:color w:val="000000"/>
          <w:sz w:val="20"/>
          <w:szCs w:val="20"/>
        </w:rPr>
      </w:pPr>
      <w:r w:rsidRPr="002E5315">
        <w:rPr>
          <w:rFonts w:cs="Calibri"/>
          <w:color w:val="000000"/>
          <w:sz w:val="20"/>
          <w:szCs w:val="20"/>
        </w:rPr>
        <w:t>Slika 1.1. Udio tijela javne vlasti koja su dostavila izvješća 2013.-2019</w:t>
      </w:r>
      <w:r w:rsidR="00633D93">
        <w:rPr>
          <w:rFonts w:cs="Calibri"/>
          <w:color w:val="000000"/>
          <w:sz w:val="20"/>
          <w:szCs w:val="20"/>
        </w:rPr>
        <w:t>.</w:t>
      </w:r>
    </w:p>
    <w:p w14:paraId="22029B8A" w14:textId="5F6F08AB" w:rsidR="00A00074" w:rsidRPr="002E5315" w:rsidRDefault="00A00074" w:rsidP="00A00074">
      <w:pPr>
        <w:keepNext/>
        <w:rPr>
          <w:sz w:val="20"/>
          <w:szCs w:val="20"/>
        </w:rPr>
      </w:pPr>
      <w:r w:rsidRPr="002E5315">
        <w:rPr>
          <w:noProof/>
          <w:sz w:val="20"/>
          <w:szCs w:val="20"/>
        </w:rPr>
        <w:drawing>
          <wp:inline distT="0" distB="0" distL="0" distR="0" wp14:anchorId="617DB700" wp14:editId="28C689D1">
            <wp:extent cx="5762625" cy="2914650"/>
            <wp:effectExtent l="0" t="0" r="0" b="0"/>
            <wp:docPr id="12" name="Grafikon 1">
              <a:extLst xmlns:a="http://schemas.openxmlformats.org/drawingml/2006/main">
                <a:ext uri="{FF2B5EF4-FFF2-40B4-BE49-F238E27FC236}">
                  <a16:creationId xmlns:a16="http://schemas.microsoft.com/office/drawing/2014/main" id="{00000000-0008-0000-02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2C283F" w14:textId="77777777" w:rsidR="00CC58C4" w:rsidRPr="002E5315" w:rsidRDefault="00CC58C4" w:rsidP="00CC58C4">
      <w:pPr>
        <w:rPr>
          <w:rFonts w:cs="Calibri"/>
          <w:color w:val="000000"/>
          <w:szCs w:val="23"/>
        </w:rPr>
      </w:pPr>
      <w:r w:rsidRPr="002E5315">
        <w:rPr>
          <w:rFonts w:cs="Calibri"/>
          <w:color w:val="000000"/>
          <w:szCs w:val="23"/>
        </w:rPr>
        <w:t xml:space="preserve">S obzirom na vrstu tijela javne vlasti (Tablica 1.1.), kao i prošle godine, sva su državna tijela (18) i tijela državne uprave (52) dostavila izvješće o provedbi ZPPI-ja za </w:t>
      </w:r>
      <w:r w:rsidRPr="002E5315">
        <w:rPr>
          <w:rFonts w:cs="Calibri"/>
          <w:szCs w:val="23"/>
        </w:rPr>
        <w:t>2019., dok u kategorijama sudova i pravosudnih tijela te agencija i drugih pravnih osoba s javnim ovlastima RH po jedno tijelo iz skupine nije dostavilo izvješće (Općinski sud u Metkoviću, koji je odgovorio na 65 od 68 pitanja, ali nije dostavio cjelovito izvješće i Centar za praćenje poslovanja energetskog sektora i investicija). Prošle godine su svi sudovi i pravosudna tijela dostavila izvješće, dok navedeni Centar to nije učinio niti za 2018</w:t>
      </w:r>
      <w:r w:rsidRPr="002E5315">
        <w:rPr>
          <w:rFonts w:cs="Calibri"/>
          <w:color w:val="000000"/>
          <w:szCs w:val="23"/>
        </w:rPr>
        <w:t>.</w:t>
      </w:r>
    </w:p>
    <w:p w14:paraId="7B699AD9" w14:textId="77777777" w:rsidR="00633D93" w:rsidRDefault="00CC58C4" w:rsidP="00CC58C4">
      <w:pPr>
        <w:rPr>
          <w:rFonts w:cs="Calibri"/>
          <w:szCs w:val="23"/>
        </w:rPr>
      </w:pPr>
      <w:r w:rsidRPr="002E5315">
        <w:rPr>
          <w:rFonts w:cs="Calibri"/>
          <w:color w:val="000000"/>
          <w:szCs w:val="23"/>
        </w:rPr>
        <w:t xml:space="preserve">Od 576 JLP(R)S, izvješće je prošle godine dostavilo 564, a ove godine 570. </w:t>
      </w:r>
      <w:r w:rsidRPr="002E5315">
        <w:rPr>
          <w:rFonts w:cs="Calibri"/>
          <w:szCs w:val="23"/>
        </w:rPr>
        <w:t>Zbog nedostavljanja izvješća za 2018., proveden je ciljani posredni inspekcijski nadzor u 12 jedinica, nakon kojeg je sedam jedinica dostavilo izvješće za 2018.,</w:t>
      </w:r>
      <w:r w:rsidRPr="002E5315">
        <w:rPr>
          <w:rFonts w:cs="Calibri"/>
          <w:color w:val="FF0000"/>
          <w:szCs w:val="23"/>
        </w:rPr>
        <w:t xml:space="preserve"> </w:t>
      </w:r>
      <w:r w:rsidRPr="002E5315">
        <w:rPr>
          <w:rFonts w:cs="Calibri"/>
          <w:szCs w:val="23"/>
        </w:rPr>
        <w:t>a pet nije (općine Čeminac, Karlobag, Milna, Povljana i Rovišće)</w:t>
      </w:r>
      <w:r w:rsidR="00633D93">
        <w:rPr>
          <w:rFonts w:cs="Calibri"/>
          <w:szCs w:val="23"/>
        </w:rPr>
        <w:t>.</w:t>
      </w:r>
    </w:p>
    <w:p w14:paraId="7B3CD0B1" w14:textId="77777777" w:rsidR="00633D93" w:rsidRDefault="00CC58C4" w:rsidP="00CC58C4">
      <w:pPr>
        <w:rPr>
          <w:rFonts w:cs="Calibri"/>
          <w:i/>
          <w:iCs/>
          <w:szCs w:val="23"/>
        </w:rPr>
      </w:pPr>
      <w:r w:rsidRPr="002E5315">
        <w:rPr>
          <w:rFonts w:cs="Calibri"/>
          <w:color w:val="000000"/>
          <w:szCs w:val="23"/>
        </w:rPr>
        <w:t xml:space="preserve">Šest jedinica koje nisu dostavile izvješće za 2019. su Grad Popovača i općine Feričanci, Karlobag, Kumrovec i Pojezerje te Lovreć (Općina Lovreć </w:t>
      </w:r>
      <w:r w:rsidRPr="002E5315">
        <w:rPr>
          <w:rFonts w:cs="Calibri"/>
          <w:szCs w:val="23"/>
        </w:rPr>
        <w:t xml:space="preserve">odgovorila je na 67 od 68 pitanja, međutim, izvješće nije dostavljeno ni nakon višekratnog požurivanja). Među općinama koje nisu dostavile izvješće za 2019., nalazi se ponovo </w:t>
      </w:r>
      <w:r w:rsidRPr="002E5315">
        <w:rPr>
          <w:rFonts w:cs="Calibri"/>
          <w:i/>
          <w:iCs/>
          <w:szCs w:val="23"/>
        </w:rPr>
        <w:t>Općina Karlobag, koja unatoč provedenom inspekcijskom nadzoru i izdanom prekršajnom nalogu, zbog neizvršavanja mjere dostavljanja Izvješća za 2018. i dalje ignorira zakonsku obvezu dostave izvješća</w:t>
      </w:r>
      <w:r w:rsidR="00633D93">
        <w:rPr>
          <w:rFonts w:cs="Calibri"/>
          <w:i/>
          <w:iCs/>
          <w:szCs w:val="23"/>
        </w:rPr>
        <w:t>.</w:t>
      </w:r>
    </w:p>
    <w:p w14:paraId="70DF46F4" w14:textId="1D665E4F" w:rsidR="00CC58C4" w:rsidRPr="002E5315" w:rsidRDefault="00CC58C4" w:rsidP="00CC58C4">
      <w:pPr>
        <w:rPr>
          <w:rFonts w:cs="Calibri"/>
          <w:color w:val="000000"/>
          <w:szCs w:val="23"/>
        </w:rPr>
      </w:pPr>
      <w:r w:rsidRPr="002E5315">
        <w:rPr>
          <w:rFonts w:cs="Calibri"/>
          <w:szCs w:val="23"/>
        </w:rPr>
        <w:t xml:space="preserve">I dalje visoka i stalno blago rastuća razina dostave godišnjeg izvješća utvrđena je u kategorijama ustanova (s 88,8 na 90,2%), trgovačkih društava (sa 71,4 na 74,92%) i ostalih pravnih osoba i tijela </w:t>
      </w:r>
      <w:r w:rsidRPr="002E5315">
        <w:rPr>
          <w:rFonts w:cs="Calibri"/>
          <w:szCs w:val="23"/>
        </w:rPr>
        <w:lastRenderedPageBreak/>
        <w:t xml:space="preserve">s javnim ovlastima (sa 73,8 na 77,1%). Kao i prethodnih godina, najniža stopa ispunjenja obveze dostave izvješća zabilježena je u kategoriji udruga </w:t>
      </w:r>
      <w:r w:rsidRPr="002E5315">
        <w:rPr>
          <w:rFonts w:cs="Calibri"/>
          <w:color w:val="000000"/>
          <w:szCs w:val="23"/>
        </w:rPr>
        <w:t>(58,09%, što je ipak porast u odnosu na lanjskih 51,5%).</w:t>
      </w:r>
    </w:p>
    <w:p w14:paraId="03AAC2E9" w14:textId="77777777" w:rsidR="00CC58C4" w:rsidRPr="002E5315" w:rsidRDefault="00CC58C4" w:rsidP="00CC58C4">
      <w:pPr>
        <w:rPr>
          <w:rFonts w:cs="Calibri"/>
          <w:szCs w:val="23"/>
        </w:rPr>
      </w:pPr>
      <w:r w:rsidRPr="002E5315">
        <w:rPr>
          <w:rFonts w:cs="Calibri"/>
          <w:szCs w:val="23"/>
        </w:rPr>
        <w:t>Nadalje, valja istaknuti da četiri strukovne komore nisu dostavile izvješće (Hrvatska komora fizioterapeuta, Hrvatska komora patentnih zastupnika i zastupnika za žigove, Hrvatska komora edukacijskih rehabilitatora i Hrvatska komora inženjera građevinarstva, koja nije dovršila izvješće). Također, od 348 turističkih zajednica na Popisu, 252 su dostavile izvješće, a od otprilike 130 veterinarskih stanica i ambulanti i 300-tinjak vatrogasnih postrojbi i zajednica, 50% nije dostavilo izvješće.</w:t>
      </w:r>
    </w:p>
    <w:p w14:paraId="5FE84569" w14:textId="40B1E4FE" w:rsidR="00A00074" w:rsidRPr="002E5315" w:rsidRDefault="00A00074" w:rsidP="00A05CD7">
      <w:pPr>
        <w:spacing w:before="240"/>
        <w:rPr>
          <w:rFonts w:cs="Calibri"/>
          <w:color w:val="000000"/>
          <w:szCs w:val="23"/>
        </w:rPr>
      </w:pPr>
      <w:r w:rsidRPr="002E5315">
        <w:rPr>
          <w:rFonts w:cs="Calibri"/>
          <w:color w:val="000000"/>
          <w:sz w:val="20"/>
          <w:szCs w:val="20"/>
        </w:rPr>
        <w:t xml:space="preserve">Tablica 1.1. Dostavljena izvješća za 2019. prema pravnom statusu tijela </w:t>
      </w:r>
    </w:p>
    <w:tbl>
      <w:tblPr>
        <w:tblW w:w="0" w:type="auto"/>
        <w:jc w:val="center"/>
        <w:tblCellMar>
          <w:top w:w="15" w:type="dxa"/>
          <w:left w:w="15" w:type="dxa"/>
          <w:bottom w:w="15" w:type="dxa"/>
          <w:right w:w="15" w:type="dxa"/>
        </w:tblCellMar>
        <w:tblLook w:val="04A0" w:firstRow="1" w:lastRow="0" w:firstColumn="1" w:lastColumn="0" w:noHBand="0" w:noVBand="1"/>
      </w:tblPr>
      <w:tblGrid>
        <w:gridCol w:w="4552"/>
        <w:gridCol w:w="3121"/>
        <w:gridCol w:w="1404"/>
      </w:tblGrid>
      <w:tr w:rsidR="00A00074" w:rsidRPr="002E5315" w14:paraId="2B4C6FF6" w14:textId="77777777" w:rsidTr="005307B5">
        <w:trPr>
          <w:trHeight w:val="300"/>
          <w:jc w:val="center"/>
        </w:trPr>
        <w:tc>
          <w:tcPr>
            <w:tcW w:w="0" w:type="auto"/>
            <w:tcBorders>
              <w:top w:val="single" w:sz="8" w:space="0" w:color="4F81BD"/>
              <w:bottom w:val="single" w:sz="8" w:space="0" w:color="4F81BD"/>
            </w:tcBorders>
            <w:tcMar>
              <w:top w:w="0" w:type="dxa"/>
              <w:left w:w="115" w:type="dxa"/>
              <w:bottom w:w="0" w:type="dxa"/>
              <w:right w:w="115" w:type="dxa"/>
            </w:tcMar>
            <w:vAlign w:val="center"/>
            <w:hideMark/>
          </w:tcPr>
          <w:p w14:paraId="6CBBBF2F" w14:textId="77777777" w:rsidR="00A00074" w:rsidRPr="002E5315" w:rsidRDefault="00A00074" w:rsidP="005307B5">
            <w:pPr>
              <w:rPr>
                <w:sz w:val="20"/>
                <w:szCs w:val="20"/>
              </w:rPr>
            </w:pPr>
            <w:r w:rsidRPr="002E5315">
              <w:rPr>
                <w:rFonts w:cs="Calibri"/>
                <w:b/>
                <w:bCs/>
                <w:color w:val="000000"/>
                <w:sz w:val="20"/>
                <w:szCs w:val="20"/>
              </w:rPr>
              <w:t>Pravni status tijela</w:t>
            </w:r>
          </w:p>
        </w:tc>
        <w:tc>
          <w:tcPr>
            <w:tcW w:w="3121" w:type="dxa"/>
            <w:tcBorders>
              <w:top w:val="single" w:sz="8" w:space="0" w:color="4F81BD"/>
              <w:bottom w:val="single" w:sz="8" w:space="0" w:color="4F81BD"/>
            </w:tcBorders>
            <w:tcMar>
              <w:top w:w="0" w:type="dxa"/>
              <w:left w:w="115" w:type="dxa"/>
              <w:bottom w:w="0" w:type="dxa"/>
              <w:right w:w="115" w:type="dxa"/>
            </w:tcMar>
            <w:vAlign w:val="center"/>
            <w:hideMark/>
          </w:tcPr>
          <w:p w14:paraId="79A25971" w14:textId="77777777" w:rsidR="00A00074" w:rsidRPr="002E5315" w:rsidRDefault="00A00074" w:rsidP="005307B5">
            <w:pPr>
              <w:rPr>
                <w:sz w:val="20"/>
                <w:szCs w:val="20"/>
              </w:rPr>
            </w:pPr>
            <w:r w:rsidRPr="002E5315">
              <w:rPr>
                <w:rFonts w:cs="Calibri"/>
                <w:b/>
                <w:bCs/>
                <w:color w:val="000000"/>
                <w:sz w:val="20"/>
                <w:szCs w:val="20"/>
              </w:rPr>
              <w:t>Broj dostavljenih izvješća</w:t>
            </w:r>
          </w:p>
        </w:tc>
        <w:tc>
          <w:tcPr>
            <w:tcW w:w="1404" w:type="dxa"/>
            <w:tcBorders>
              <w:top w:val="single" w:sz="8" w:space="0" w:color="4F81BD"/>
              <w:bottom w:val="single" w:sz="8" w:space="0" w:color="4F81BD"/>
            </w:tcBorders>
            <w:tcMar>
              <w:top w:w="0" w:type="dxa"/>
              <w:left w:w="115" w:type="dxa"/>
              <w:bottom w:w="0" w:type="dxa"/>
              <w:right w:w="115" w:type="dxa"/>
            </w:tcMar>
            <w:vAlign w:val="center"/>
            <w:hideMark/>
          </w:tcPr>
          <w:p w14:paraId="644E4F7E" w14:textId="77777777" w:rsidR="00A00074" w:rsidRPr="002E5315" w:rsidRDefault="00A00074" w:rsidP="005307B5">
            <w:pPr>
              <w:rPr>
                <w:sz w:val="20"/>
                <w:szCs w:val="20"/>
              </w:rPr>
            </w:pPr>
            <w:r w:rsidRPr="002E5315">
              <w:rPr>
                <w:rFonts w:cs="Calibri"/>
                <w:b/>
                <w:bCs/>
                <w:color w:val="000000"/>
                <w:sz w:val="20"/>
                <w:szCs w:val="20"/>
              </w:rPr>
              <w:t>%</w:t>
            </w:r>
          </w:p>
        </w:tc>
      </w:tr>
      <w:tr w:rsidR="00A00074" w:rsidRPr="002E5315" w14:paraId="0BAAEC85" w14:textId="77777777" w:rsidTr="00756407">
        <w:trPr>
          <w:trHeight w:val="300"/>
          <w:jc w:val="center"/>
        </w:trPr>
        <w:tc>
          <w:tcPr>
            <w:tcW w:w="0" w:type="auto"/>
            <w:tcBorders>
              <w:top w:val="single" w:sz="8" w:space="0" w:color="4F81BD"/>
            </w:tcBorders>
            <w:shd w:val="clear" w:color="auto" w:fill="D9E2F3" w:themeFill="accent1" w:themeFillTint="33"/>
            <w:tcMar>
              <w:top w:w="0" w:type="dxa"/>
              <w:left w:w="115" w:type="dxa"/>
              <w:bottom w:w="0" w:type="dxa"/>
              <w:right w:w="115" w:type="dxa"/>
            </w:tcMar>
            <w:vAlign w:val="center"/>
            <w:hideMark/>
          </w:tcPr>
          <w:p w14:paraId="2E700C61" w14:textId="77777777" w:rsidR="00A00074" w:rsidRPr="002E5315" w:rsidRDefault="00A00074" w:rsidP="005307B5">
            <w:pPr>
              <w:rPr>
                <w:sz w:val="20"/>
                <w:szCs w:val="20"/>
              </w:rPr>
            </w:pPr>
            <w:r w:rsidRPr="002E5315">
              <w:rPr>
                <w:rFonts w:cs="Calibri"/>
                <w:color w:val="000000"/>
                <w:sz w:val="20"/>
                <w:szCs w:val="20"/>
              </w:rPr>
              <w:t>Državna tijela</w:t>
            </w:r>
          </w:p>
        </w:tc>
        <w:tc>
          <w:tcPr>
            <w:tcW w:w="3121" w:type="dxa"/>
            <w:tcBorders>
              <w:top w:val="single" w:sz="8" w:space="0" w:color="4F81BD"/>
            </w:tcBorders>
            <w:shd w:val="clear" w:color="auto" w:fill="D9E2F3" w:themeFill="accent1" w:themeFillTint="33"/>
            <w:tcMar>
              <w:top w:w="0" w:type="dxa"/>
              <w:left w:w="115" w:type="dxa"/>
              <w:bottom w:w="0" w:type="dxa"/>
              <w:right w:w="115" w:type="dxa"/>
            </w:tcMar>
            <w:vAlign w:val="center"/>
            <w:hideMark/>
          </w:tcPr>
          <w:p w14:paraId="1B97C12E" w14:textId="77777777" w:rsidR="00A00074" w:rsidRPr="002E5315" w:rsidRDefault="00A00074" w:rsidP="005307B5">
            <w:pPr>
              <w:rPr>
                <w:sz w:val="20"/>
                <w:szCs w:val="20"/>
              </w:rPr>
            </w:pPr>
            <w:r w:rsidRPr="002E5315">
              <w:rPr>
                <w:rFonts w:cs="Calibri"/>
                <w:color w:val="000000"/>
                <w:sz w:val="20"/>
                <w:szCs w:val="20"/>
              </w:rPr>
              <w:t>18/18</w:t>
            </w:r>
          </w:p>
        </w:tc>
        <w:tc>
          <w:tcPr>
            <w:tcW w:w="1404" w:type="dxa"/>
            <w:tcBorders>
              <w:top w:val="single" w:sz="8" w:space="0" w:color="4F81BD"/>
            </w:tcBorders>
            <w:shd w:val="clear" w:color="auto" w:fill="D9E2F3" w:themeFill="accent1" w:themeFillTint="33"/>
            <w:tcMar>
              <w:top w:w="0" w:type="dxa"/>
              <w:left w:w="115" w:type="dxa"/>
              <w:bottom w:w="0" w:type="dxa"/>
              <w:right w:w="115" w:type="dxa"/>
            </w:tcMar>
            <w:vAlign w:val="center"/>
            <w:hideMark/>
          </w:tcPr>
          <w:p w14:paraId="27DAB051" w14:textId="77777777" w:rsidR="00A00074" w:rsidRPr="002E5315" w:rsidRDefault="00A00074" w:rsidP="005307B5">
            <w:pPr>
              <w:rPr>
                <w:sz w:val="20"/>
                <w:szCs w:val="20"/>
              </w:rPr>
            </w:pPr>
            <w:r w:rsidRPr="002E5315">
              <w:rPr>
                <w:rFonts w:cs="Calibri"/>
                <w:color w:val="000000"/>
                <w:sz w:val="20"/>
                <w:szCs w:val="20"/>
              </w:rPr>
              <w:t>100</w:t>
            </w:r>
          </w:p>
        </w:tc>
      </w:tr>
      <w:tr w:rsidR="00A00074" w:rsidRPr="002E5315" w14:paraId="548DF586" w14:textId="77777777" w:rsidTr="005307B5">
        <w:trPr>
          <w:trHeight w:val="300"/>
          <w:jc w:val="center"/>
        </w:trPr>
        <w:tc>
          <w:tcPr>
            <w:tcW w:w="0" w:type="auto"/>
            <w:tcMar>
              <w:top w:w="0" w:type="dxa"/>
              <w:left w:w="115" w:type="dxa"/>
              <w:bottom w:w="0" w:type="dxa"/>
              <w:right w:w="115" w:type="dxa"/>
            </w:tcMar>
            <w:vAlign w:val="center"/>
            <w:hideMark/>
          </w:tcPr>
          <w:p w14:paraId="37405CAB" w14:textId="77777777" w:rsidR="00A00074" w:rsidRPr="002E5315" w:rsidRDefault="00A00074" w:rsidP="005307B5">
            <w:pPr>
              <w:rPr>
                <w:sz w:val="20"/>
                <w:szCs w:val="20"/>
              </w:rPr>
            </w:pPr>
            <w:r w:rsidRPr="002E5315">
              <w:rPr>
                <w:rFonts w:cs="Calibri"/>
                <w:color w:val="000000"/>
                <w:sz w:val="20"/>
                <w:szCs w:val="20"/>
              </w:rPr>
              <w:t>Tijela državne uprave</w:t>
            </w:r>
          </w:p>
        </w:tc>
        <w:tc>
          <w:tcPr>
            <w:tcW w:w="3121" w:type="dxa"/>
            <w:tcMar>
              <w:top w:w="0" w:type="dxa"/>
              <w:left w:w="115" w:type="dxa"/>
              <w:bottom w:w="0" w:type="dxa"/>
              <w:right w:w="115" w:type="dxa"/>
            </w:tcMar>
            <w:vAlign w:val="center"/>
            <w:hideMark/>
          </w:tcPr>
          <w:p w14:paraId="3B2FE85C" w14:textId="77777777" w:rsidR="00A00074" w:rsidRPr="002E5315" w:rsidRDefault="00A00074" w:rsidP="005307B5">
            <w:pPr>
              <w:rPr>
                <w:sz w:val="20"/>
                <w:szCs w:val="20"/>
              </w:rPr>
            </w:pPr>
            <w:r w:rsidRPr="002E5315">
              <w:rPr>
                <w:rFonts w:cs="Calibri"/>
                <w:color w:val="000000"/>
                <w:sz w:val="20"/>
                <w:szCs w:val="20"/>
              </w:rPr>
              <w:t>52/52</w:t>
            </w:r>
          </w:p>
        </w:tc>
        <w:tc>
          <w:tcPr>
            <w:tcW w:w="1404" w:type="dxa"/>
            <w:tcMar>
              <w:top w:w="0" w:type="dxa"/>
              <w:left w:w="115" w:type="dxa"/>
              <w:bottom w:w="0" w:type="dxa"/>
              <w:right w:w="115" w:type="dxa"/>
            </w:tcMar>
            <w:vAlign w:val="center"/>
            <w:hideMark/>
          </w:tcPr>
          <w:p w14:paraId="37F1DBE7" w14:textId="77777777" w:rsidR="00A00074" w:rsidRPr="002E5315" w:rsidRDefault="00A00074" w:rsidP="005307B5">
            <w:pPr>
              <w:rPr>
                <w:sz w:val="20"/>
                <w:szCs w:val="20"/>
              </w:rPr>
            </w:pPr>
            <w:r w:rsidRPr="002E5315">
              <w:rPr>
                <w:rFonts w:cs="Calibri"/>
                <w:color w:val="000000"/>
                <w:sz w:val="20"/>
                <w:szCs w:val="20"/>
              </w:rPr>
              <w:t>100</w:t>
            </w:r>
          </w:p>
        </w:tc>
      </w:tr>
      <w:tr w:rsidR="00A00074" w:rsidRPr="002E5315" w14:paraId="41BE6236" w14:textId="77777777" w:rsidTr="00756407">
        <w:trPr>
          <w:trHeight w:val="300"/>
          <w:jc w:val="center"/>
        </w:trPr>
        <w:tc>
          <w:tcPr>
            <w:tcW w:w="0" w:type="auto"/>
            <w:shd w:val="clear" w:color="auto" w:fill="D9E2F3" w:themeFill="accent1" w:themeFillTint="33"/>
            <w:tcMar>
              <w:top w:w="0" w:type="dxa"/>
              <w:left w:w="115" w:type="dxa"/>
              <w:bottom w:w="0" w:type="dxa"/>
              <w:right w:w="115" w:type="dxa"/>
            </w:tcMar>
            <w:vAlign w:val="center"/>
            <w:hideMark/>
          </w:tcPr>
          <w:p w14:paraId="6510EFE4" w14:textId="77777777" w:rsidR="00A00074" w:rsidRPr="002E5315" w:rsidRDefault="00A00074" w:rsidP="005307B5">
            <w:pPr>
              <w:rPr>
                <w:sz w:val="20"/>
                <w:szCs w:val="20"/>
              </w:rPr>
            </w:pPr>
            <w:r w:rsidRPr="002E5315">
              <w:rPr>
                <w:rFonts w:cs="Calibri"/>
                <w:color w:val="000000"/>
                <w:sz w:val="20"/>
                <w:szCs w:val="20"/>
              </w:rPr>
              <w:t>Jedinice lokalne ili područne (regionalne) samouprave</w:t>
            </w:r>
          </w:p>
        </w:tc>
        <w:tc>
          <w:tcPr>
            <w:tcW w:w="3121" w:type="dxa"/>
            <w:shd w:val="clear" w:color="auto" w:fill="D9E2F3" w:themeFill="accent1" w:themeFillTint="33"/>
            <w:tcMar>
              <w:top w:w="0" w:type="dxa"/>
              <w:left w:w="115" w:type="dxa"/>
              <w:bottom w:w="0" w:type="dxa"/>
              <w:right w:w="115" w:type="dxa"/>
            </w:tcMar>
            <w:vAlign w:val="center"/>
            <w:hideMark/>
          </w:tcPr>
          <w:p w14:paraId="55CFF257" w14:textId="77777777" w:rsidR="00A00074" w:rsidRPr="002E5315" w:rsidRDefault="00A00074" w:rsidP="005307B5">
            <w:pPr>
              <w:rPr>
                <w:sz w:val="20"/>
                <w:szCs w:val="20"/>
              </w:rPr>
            </w:pPr>
            <w:r w:rsidRPr="002E5315">
              <w:rPr>
                <w:rFonts w:cs="Calibri"/>
                <w:color w:val="000000"/>
                <w:sz w:val="20"/>
                <w:szCs w:val="20"/>
              </w:rPr>
              <w:t>570/576</w:t>
            </w:r>
          </w:p>
        </w:tc>
        <w:tc>
          <w:tcPr>
            <w:tcW w:w="1404" w:type="dxa"/>
            <w:shd w:val="clear" w:color="auto" w:fill="D9E2F3" w:themeFill="accent1" w:themeFillTint="33"/>
            <w:tcMar>
              <w:top w:w="0" w:type="dxa"/>
              <w:left w:w="115" w:type="dxa"/>
              <w:bottom w:w="0" w:type="dxa"/>
              <w:right w:w="115" w:type="dxa"/>
            </w:tcMar>
            <w:vAlign w:val="center"/>
            <w:hideMark/>
          </w:tcPr>
          <w:p w14:paraId="2590DEC1" w14:textId="77777777" w:rsidR="00A00074" w:rsidRPr="002E5315" w:rsidRDefault="00A00074" w:rsidP="005307B5">
            <w:pPr>
              <w:rPr>
                <w:sz w:val="20"/>
                <w:szCs w:val="20"/>
              </w:rPr>
            </w:pPr>
            <w:r w:rsidRPr="002E5315">
              <w:rPr>
                <w:rFonts w:cs="Calibri"/>
                <w:color w:val="000000"/>
                <w:sz w:val="20"/>
                <w:szCs w:val="20"/>
              </w:rPr>
              <w:t>98,96</w:t>
            </w:r>
          </w:p>
        </w:tc>
      </w:tr>
      <w:tr w:rsidR="00A00074" w:rsidRPr="002E5315" w14:paraId="650C3EEE" w14:textId="77777777" w:rsidTr="005307B5">
        <w:trPr>
          <w:trHeight w:val="300"/>
          <w:jc w:val="center"/>
        </w:trPr>
        <w:tc>
          <w:tcPr>
            <w:tcW w:w="0" w:type="auto"/>
            <w:tcMar>
              <w:top w:w="0" w:type="dxa"/>
              <w:left w:w="115" w:type="dxa"/>
              <w:bottom w:w="0" w:type="dxa"/>
              <w:right w:w="115" w:type="dxa"/>
            </w:tcMar>
            <w:vAlign w:val="center"/>
            <w:hideMark/>
          </w:tcPr>
          <w:p w14:paraId="3FCA9220" w14:textId="77777777" w:rsidR="00A00074" w:rsidRPr="002E5315" w:rsidRDefault="00A00074" w:rsidP="005307B5">
            <w:pPr>
              <w:rPr>
                <w:sz w:val="20"/>
                <w:szCs w:val="20"/>
              </w:rPr>
            </w:pPr>
            <w:r w:rsidRPr="002E5315">
              <w:rPr>
                <w:rFonts w:cs="Calibri"/>
                <w:color w:val="000000"/>
                <w:sz w:val="20"/>
                <w:szCs w:val="20"/>
              </w:rPr>
              <w:t>Sudovi i pravosudna tijela</w:t>
            </w:r>
          </w:p>
        </w:tc>
        <w:tc>
          <w:tcPr>
            <w:tcW w:w="3121" w:type="dxa"/>
            <w:tcMar>
              <w:top w:w="0" w:type="dxa"/>
              <w:left w:w="115" w:type="dxa"/>
              <w:bottom w:w="0" w:type="dxa"/>
              <w:right w:w="115" w:type="dxa"/>
            </w:tcMar>
            <w:vAlign w:val="center"/>
            <w:hideMark/>
          </w:tcPr>
          <w:p w14:paraId="5954ADAA" w14:textId="77777777" w:rsidR="00A00074" w:rsidRPr="002E5315" w:rsidRDefault="00A00074" w:rsidP="005307B5">
            <w:pPr>
              <w:rPr>
                <w:sz w:val="20"/>
                <w:szCs w:val="20"/>
              </w:rPr>
            </w:pPr>
            <w:r w:rsidRPr="002E5315">
              <w:rPr>
                <w:rFonts w:cs="Calibri"/>
                <w:color w:val="000000"/>
                <w:sz w:val="20"/>
                <w:szCs w:val="20"/>
              </w:rPr>
              <w:t>106/107</w:t>
            </w:r>
          </w:p>
        </w:tc>
        <w:tc>
          <w:tcPr>
            <w:tcW w:w="1404" w:type="dxa"/>
            <w:tcMar>
              <w:top w:w="0" w:type="dxa"/>
              <w:left w:w="115" w:type="dxa"/>
              <w:bottom w:w="0" w:type="dxa"/>
              <w:right w:w="115" w:type="dxa"/>
            </w:tcMar>
            <w:vAlign w:val="center"/>
            <w:hideMark/>
          </w:tcPr>
          <w:p w14:paraId="20973D02" w14:textId="77777777" w:rsidR="00A00074" w:rsidRPr="002E5315" w:rsidRDefault="00A00074" w:rsidP="005307B5">
            <w:pPr>
              <w:rPr>
                <w:sz w:val="20"/>
                <w:szCs w:val="20"/>
              </w:rPr>
            </w:pPr>
            <w:r w:rsidRPr="002E5315">
              <w:rPr>
                <w:rFonts w:cs="Calibri"/>
                <w:color w:val="000000"/>
                <w:sz w:val="20"/>
                <w:szCs w:val="20"/>
              </w:rPr>
              <w:t>99,06</w:t>
            </w:r>
          </w:p>
        </w:tc>
      </w:tr>
      <w:tr w:rsidR="00A00074" w:rsidRPr="002E5315" w14:paraId="2689D729" w14:textId="77777777" w:rsidTr="00756407">
        <w:trPr>
          <w:trHeight w:val="300"/>
          <w:jc w:val="center"/>
        </w:trPr>
        <w:tc>
          <w:tcPr>
            <w:tcW w:w="0" w:type="auto"/>
            <w:shd w:val="clear" w:color="auto" w:fill="D9E2F3" w:themeFill="accent1" w:themeFillTint="33"/>
            <w:tcMar>
              <w:top w:w="0" w:type="dxa"/>
              <w:left w:w="115" w:type="dxa"/>
              <w:bottom w:w="0" w:type="dxa"/>
              <w:right w:w="115" w:type="dxa"/>
            </w:tcMar>
            <w:vAlign w:val="center"/>
            <w:hideMark/>
          </w:tcPr>
          <w:p w14:paraId="21D71C0F" w14:textId="77777777" w:rsidR="00A00074" w:rsidRPr="002E5315" w:rsidRDefault="00A00074" w:rsidP="005307B5">
            <w:pPr>
              <w:rPr>
                <w:sz w:val="20"/>
                <w:szCs w:val="20"/>
              </w:rPr>
            </w:pPr>
            <w:r w:rsidRPr="002E5315">
              <w:rPr>
                <w:rFonts w:cs="Calibri"/>
                <w:color w:val="000000"/>
                <w:sz w:val="20"/>
                <w:szCs w:val="20"/>
              </w:rPr>
              <w:t xml:space="preserve">Agencije i druge pravne osobe s </w:t>
            </w:r>
            <w:r w:rsidRPr="002E5315">
              <w:rPr>
                <w:rFonts w:cs="Calibri"/>
                <w:sz w:val="20"/>
                <w:szCs w:val="20"/>
              </w:rPr>
              <w:t xml:space="preserve">javnim ovlastima </w:t>
            </w:r>
          </w:p>
        </w:tc>
        <w:tc>
          <w:tcPr>
            <w:tcW w:w="3121" w:type="dxa"/>
            <w:shd w:val="clear" w:color="auto" w:fill="D9E2F3" w:themeFill="accent1" w:themeFillTint="33"/>
            <w:tcMar>
              <w:top w:w="0" w:type="dxa"/>
              <w:left w:w="115" w:type="dxa"/>
              <w:bottom w:w="0" w:type="dxa"/>
              <w:right w:w="115" w:type="dxa"/>
            </w:tcMar>
            <w:vAlign w:val="center"/>
            <w:hideMark/>
          </w:tcPr>
          <w:p w14:paraId="545C3EFE" w14:textId="77777777" w:rsidR="00A00074" w:rsidRPr="002E5315" w:rsidRDefault="00A00074" w:rsidP="005307B5">
            <w:pPr>
              <w:rPr>
                <w:sz w:val="20"/>
                <w:szCs w:val="20"/>
              </w:rPr>
            </w:pPr>
            <w:r w:rsidRPr="002E5315">
              <w:rPr>
                <w:rFonts w:cs="Calibri"/>
                <w:color w:val="000000"/>
                <w:sz w:val="20"/>
                <w:szCs w:val="20"/>
              </w:rPr>
              <w:t>54/55</w:t>
            </w:r>
          </w:p>
        </w:tc>
        <w:tc>
          <w:tcPr>
            <w:tcW w:w="1404" w:type="dxa"/>
            <w:shd w:val="clear" w:color="auto" w:fill="D9E2F3" w:themeFill="accent1" w:themeFillTint="33"/>
            <w:tcMar>
              <w:top w:w="0" w:type="dxa"/>
              <w:left w:w="115" w:type="dxa"/>
              <w:bottom w:w="0" w:type="dxa"/>
              <w:right w:w="115" w:type="dxa"/>
            </w:tcMar>
            <w:vAlign w:val="center"/>
            <w:hideMark/>
          </w:tcPr>
          <w:p w14:paraId="71E9846A" w14:textId="77777777" w:rsidR="00A00074" w:rsidRPr="002E5315" w:rsidRDefault="00A00074" w:rsidP="005307B5">
            <w:pPr>
              <w:rPr>
                <w:sz w:val="20"/>
                <w:szCs w:val="20"/>
              </w:rPr>
            </w:pPr>
            <w:r w:rsidRPr="002E5315">
              <w:rPr>
                <w:rFonts w:cs="Calibri"/>
                <w:color w:val="000000"/>
                <w:sz w:val="20"/>
                <w:szCs w:val="20"/>
              </w:rPr>
              <w:t>98,18</w:t>
            </w:r>
          </w:p>
        </w:tc>
      </w:tr>
      <w:tr w:rsidR="00A00074" w:rsidRPr="002E5315" w14:paraId="79112FB3" w14:textId="77777777" w:rsidTr="005307B5">
        <w:trPr>
          <w:trHeight w:val="300"/>
          <w:jc w:val="center"/>
        </w:trPr>
        <w:tc>
          <w:tcPr>
            <w:tcW w:w="0" w:type="auto"/>
            <w:tcMar>
              <w:top w:w="0" w:type="dxa"/>
              <w:left w:w="115" w:type="dxa"/>
              <w:bottom w:w="0" w:type="dxa"/>
              <w:right w:w="115" w:type="dxa"/>
            </w:tcMar>
            <w:vAlign w:val="center"/>
            <w:hideMark/>
          </w:tcPr>
          <w:p w14:paraId="11101517" w14:textId="77777777" w:rsidR="00A00074" w:rsidRPr="002E5315" w:rsidRDefault="00A00074" w:rsidP="005307B5">
            <w:pPr>
              <w:rPr>
                <w:sz w:val="20"/>
                <w:szCs w:val="20"/>
              </w:rPr>
            </w:pPr>
            <w:r w:rsidRPr="002E5315">
              <w:rPr>
                <w:rFonts w:cs="Calibri"/>
                <w:color w:val="000000"/>
                <w:sz w:val="20"/>
                <w:szCs w:val="20"/>
              </w:rPr>
              <w:t>Ustanove</w:t>
            </w:r>
          </w:p>
        </w:tc>
        <w:tc>
          <w:tcPr>
            <w:tcW w:w="3121" w:type="dxa"/>
            <w:tcMar>
              <w:top w:w="0" w:type="dxa"/>
              <w:left w:w="115" w:type="dxa"/>
              <w:bottom w:w="0" w:type="dxa"/>
              <w:right w:w="115" w:type="dxa"/>
            </w:tcMar>
            <w:vAlign w:val="center"/>
            <w:hideMark/>
          </w:tcPr>
          <w:p w14:paraId="3105DAFD" w14:textId="77777777" w:rsidR="00A00074" w:rsidRPr="002E5315" w:rsidRDefault="00A00074" w:rsidP="005307B5">
            <w:pPr>
              <w:rPr>
                <w:sz w:val="20"/>
                <w:szCs w:val="20"/>
              </w:rPr>
            </w:pPr>
            <w:r w:rsidRPr="002E5315">
              <w:rPr>
                <w:rFonts w:cs="Calibri"/>
                <w:color w:val="000000"/>
                <w:sz w:val="20"/>
                <w:szCs w:val="20"/>
              </w:rPr>
              <w:t>2.991/3.315</w:t>
            </w:r>
          </w:p>
        </w:tc>
        <w:tc>
          <w:tcPr>
            <w:tcW w:w="1404" w:type="dxa"/>
            <w:tcMar>
              <w:top w:w="0" w:type="dxa"/>
              <w:left w:w="115" w:type="dxa"/>
              <w:bottom w:w="0" w:type="dxa"/>
              <w:right w:w="115" w:type="dxa"/>
            </w:tcMar>
            <w:vAlign w:val="center"/>
            <w:hideMark/>
          </w:tcPr>
          <w:p w14:paraId="48AEE843" w14:textId="77777777" w:rsidR="00A00074" w:rsidRPr="002E5315" w:rsidRDefault="00A00074" w:rsidP="005307B5">
            <w:pPr>
              <w:rPr>
                <w:sz w:val="20"/>
                <w:szCs w:val="20"/>
              </w:rPr>
            </w:pPr>
            <w:r w:rsidRPr="002E5315">
              <w:rPr>
                <w:rFonts w:cs="Calibri"/>
                <w:color w:val="000000"/>
                <w:sz w:val="20"/>
                <w:szCs w:val="20"/>
              </w:rPr>
              <w:t>90,22</w:t>
            </w:r>
          </w:p>
        </w:tc>
      </w:tr>
      <w:tr w:rsidR="00A00074" w:rsidRPr="002E5315" w14:paraId="72ADD67C" w14:textId="77777777" w:rsidTr="00756407">
        <w:trPr>
          <w:trHeight w:val="300"/>
          <w:jc w:val="center"/>
        </w:trPr>
        <w:tc>
          <w:tcPr>
            <w:tcW w:w="0" w:type="auto"/>
            <w:shd w:val="clear" w:color="auto" w:fill="D9E2F3" w:themeFill="accent1" w:themeFillTint="33"/>
            <w:tcMar>
              <w:top w:w="0" w:type="dxa"/>
              <w:left w:w="115" w:type="dxa"/>
              <w:bottom w:w="0" w:type="dxa"/>
              <w:right w:w="115" w:type="dxa"/>
            </w:tcMar>
            <w:vAlign w:val="center"/>
            <w:hideMark/>
          </w:tcPr>
          <w:p w14:paraId="235FCC4E" w14:textId="77777777" w:rsidR="00A00074" w:rsidRPr="002E5315" w:rsidRDefault="00A00074" w:rsidP="005307B5">
            <w:pPr>
              <w:rPr>
                <w:sz w:val="20"/>
                <w:szCs w:val="20"/>
              </w:rPr>
            </w:pPr>
            <w:r w:rsidRPr="002E5315">
              <w:rPr>
                <w:rFonts w:cs="Calibri"/>
                <w:color w:val="000000"/>
                <w:sz w:val="20"/>
                <w:szCs w:val="20"/>
              </w:rPr>
              <w:t>Trgovačka društva</w:t>
            </w:r>
          </w:p>
        </w:tc>
        <w:tc>
          <w:tcPr>
            <w:tcW w:w="3121" w:type="dxa"/>
            <w:shd w:val="clear" w:color="auto" w:fill="D9E2F3" w:themeFill="accent1" w:themeFillTint="33"/>
            <w:tcMar>
              <w:top w:w="0" w:type="dxa"/>
              <w:left w:w="115" w:type="dxa"/>
              <w:bottom w:w="0" w:type="dxa"/>
              <w:right w:w="115" w:type="dxa"/>
            </w:tcMar>
            <w:vAlign w:val="center"/>
            <w:hideMark/>
          </w:tcPr>
          <w:p w14:paraId="2D2DA3EE" w14:textId="77777777" w:rsidR="00A00074" w:rsidRPr="002E5315" w:rsidRDefault="00A00074" w:rsidP="005307B5">
            <w:pPr>
              <w:rPr>
                <w:sz w:val="20"/>
                <w:szCs w:val="20"/>
              </w:rPr>
            </w:pPr>
            <w:r w:rsidRPr="002E5315">
              <w:rPr>
                <w:rFonts w:cs="Calibri"/>
                <w:color w:val="000000"/>
                <w:sz w:val="20"/>
                <w:szCs w:val="20"/>
              </w:rPr>
              <w:t>666/889</w:t>
            </w:r>
          </w:p>
        </w:tc>
        <w:tc>
          <w:tcPr>
            <w:tcW w:w="1404" w:type="dxa"/>
            <w:shd w:val="clear" w:color="auto" w:fill="D9E2F3" w:themeFill="accent1" w:themeFillTint="33"/>
            <w:tcMar>
              <w:top w:w="0" w:type="dxa"/>
              <w:left w:w="115" w:type="dxa"/>
              <w:bottom w:w="0" w:type="dxa"/>
              <w:right w:w="115" w:type="dxa"/>
            </w:tcMar>
            <w:vAlign w:val="center"/>
            <w:hideMark/>
          </w:tcPr>
          <w:p w14:paraId="4AF6A1E6" w14:textId="77777777" w:rsidR="00A00074" w:rsidRPr="002E5315" w:rsidRDefault="00A00074" w:rsidP="005307B5">
            <w:pPr>
              <w:rPr>
                <w:sz w:val="20"/>
                <w:szCs w:val="20"/>
              </w:rPr>
            </w:pPr>
            <w:r w:rsidRPr="002E5315">
              <w:rPr>
                <w:rFonts w:cs="Calibri"/>
                <w:color w:val="000000"/>
                <w:sz w:val="20"/>
                <w:szCs w:val="20"/>
              </w:rPr>
              <w:t>74,92</w:t>
            </w:r>
          </w:p>
        </w:tc>
      </w:tr>
      <w:tr w:rsidR="00A00074" w:rsidRPr="002E5315" w14:paraId="4DCC21CA" w14:textId="77777777" w:rsidTr="005307B5">
        <w:trPr>
          <w:trHeight w:val="300"/>
          <w:jc w:val="center"/>
        </w:trPr>
        <w:tc>
          <w:tcPr>
            <w:tcW w:w="0" w:type="auto"/>
            <w:tcMar>
              <w:top w:w="0" w:type="dxa"/>
              <w:left w:w="115" w:type="dxa"/>
              <w:bottom w:w="0" w:type="dxa"/>
              <w:right w:w="115" w:type="dxa"/>
            </w:tcMar>
            <w:vAlign w:val="center"/>
            <w:hideMark/>
          </w:tcPr>
          <w:p w14:paraId="120A3C66" w14:textId="77777777" w:rsidR="00A00074" w:rsidRPr="002E5315" w:rsidRDefault="00A00074" w:rsidP="005307B5">
            <w:pPr>
              <w:rPr>
                <w:sz w:val="20"/>
                <w:szCs w:val="20"/>
              </w:rPr>
            </w:pPr>
            <w:r w:rsidRPr="002E5315">
              <w:rPr>
                <w:rFonts w:cs="Calibri"/>
                <w:color w:val="000000"/>
                <w:sz w:val="20"/>
                <w:szCs w:val="20"/>
              </w:rPr>
              <w:t>Udruge</w:t>
            </w:r>
          </w:p>
        </w:tc>
        <w:tc>
          <w:tcPr>
            <w:tcW w:w="3121" w:type="dxa"/>
            <w:tcMar>
              <w:top w:w="0" w:type="dxa"/>
              <w:left w:w="115" w:type="dxa"/>
              <w:bottom w:w="0" w:type="dxa"/>
              <w:right w:w="115" w:type="dxa"/>
            </w:tcMar>
            <w:vAlign w:val="center"/>
            <w:hideMark/>
          </w:tcPr>
          <w:p w14:paraId="2DBBD784" w14:textId="77777777" w:rsidR="00A00074" w:rsidRPr="002E5315" w:rsidRDefault="00A00074" w:rsidP="005307B5">
            <w:pPr>
              <w:rPr>
                <w:sz w:val="20"/>
                <w:szCs w:val="20"/>
              </w:rPr>
            </w:pPr>
            <w:r w:rsidRPr="002E5315">
              <w:rPr>
                <w:rFonts w:cs="Calibri"/>
                <w:color w:val="000000"/>
                <w:sz w:val="20"/>
                <w:szCs w:val="20"/>
              </w:rPr>
              <w:t>262/451</w:t>
            </w:r>
          </w:p>
        </w:tc>
        <w:tc>
          <w:tcPr>
            <w:tcW w:w="1404" w:type="dxa"/>
            <w:tcMar>
              <w:top w:w="0" w:type="dxa"/>
              <w:left w:w="115" w:type="dxa"/>
              <w:bottom w:w="0" w:type="dxa"/>
              <w:right w:w="115" w:type="dxa"/>
            </w:tcMar>
            <w:vAlign w:val="center"/>
            <w:hideMark/>
          </w:tcPr>
          <w:p w14:paraId="1A47C137" w14:textId="77777777" w:rsidR="00A00074" w:rsidRPr="002E5315" w:rsidRDefault="00A00074" w:rsidP="005307B5">
            <w:pPr>
              <w:rPr>
                <w:sz w:val="20"/>
                <w:szCs w:val="20"/>
              </w:rPr>
            </w:pPr>
            <w:r w:rsidRPr="002E5315">
              <w:rPr>
                <w:rFonts w:cs="Calibri"/>
                <w:color w:val="000000"/>
                <w:sz w:val="20"/>
                <w:szCs w:val="20"/>
              </w:rPr>
              <w:t>58,09</w:t>
            </w:r>
          </w:p>
        </w:tc>
      </w:tr>
      <w:tr w:rsidR="00A00074" w:rsidRPr="002E5315" w14:paraId="6CF63C6A" w14:textId="77777777" w:rsidTr="00756407">
        <w:trPr>
          <w:trHeight w:val="300"/>
          <w:jc w:val="center"/>
        </w:trPr>
        <w:tc>
          <w:tcPr>
            <w:tcW w:w="0" w:type="auto"/>
            <w:shd w:val="clear" w:color="auto" w:fill="D9E2F3" w:themeFill="accent1" w:themeFillTint="33"/>
            <w:tcMar>
              <w:top w:w="0" w:type="dxa"/>
              <w:left w:w="115" w:type="dxa"/>
              <w:bottom w:w="0" w:type="dxa"/>
              <w:right w:w="115" w:type="dxa"/>
            </w:tcMar>
            <w:vAlign w:val="center"/>
            <w:hideMark/>
          </w:tcPr>
          <w:p w14:paraId="2B390ED0" w14:textId="77777777" w:rsidR="00A00074" w:rsidRPr="002E5315" w:rsidRDefault="00A00074" w:rsidP="005307B5">
            <w:pPr>
              <w:rPr>
                <w:sz w:val="20"/>
                <w:szCs w:val="20"/>
              </w:rPr>
            </w:pPr>
            <w:r w:rsidRPr="002E5315">
              <w:rPr>
                <w:rFonts w:cs="Calibri"/>
                <w:color w:val="000000"/>
                <w:sz w:val="20"/>
                <w:szCs w:val="20"/>
              </w:rPr>
              <w:t>Ostale pravne osobe i tijela s javnim ovlastima</w:t>
            </w:r>
          </w:p>
        </w:tc>
        <w:tc>
          <w:tcPr>
            <w:tcW w:w="3121" w:type="dxa"/>
            <w:shd w:val="clear" w:color="auto" w:fill="D9E2F3" w:themeFill="accent1" w:themeFillTint="33"/>
            <w:tcMar>
              <w:top w:w="0" w:type="dxa"/>
              <w:left w:w="115" w:type="dxa"/>
              <w:bottom w:w="0" w:type="dxa"/>
              <w:right w:w="115" w:type="dxa"/>
            </w:tcMar>
            <w:vAlign w:val="center"/>
            <w:hideMark/>
          </w:tcPr>
          <w:p w14:paraId="46F9FF87" w14:textId="77777777" w:rsidR="00A00074" w:rsidRPr="002E5315" w:rsidRDefault="00A00074" w:rsidP="005307B5">
            <w:pPr>
              <w:rPr>
                <w:sz w:val="20"/>
                <w:szCs w:val="20"/>
              </w:rPr>
            </w:pPr>
            <w:r w:rsidRPr="002E5315">
              <w:rPr>
                <w:rFonts w:cs="Calibri"/>
                <w:color w:val="000000"/>
                <w:sz w:val="20"/>
                <w:szCs w:val="20"/>
              </w:rPr>
              <w:t>266/345</w:t>
            </w:r>
          </w:p>
        </w:tc>
        <w:tc>
          <w:tcPr>
            <w:tcW w:w="1404" w:type="dxa"/>
            <w:shd w:val="clear" w:color="auto" w:fill="D9E2F3" w:themeFill="accent1" w:themeFillTint="33"/>
            <w:tcMar>
              <w:top w:w="0" w:type="dxa"/>
              <w:left w:w="115" w:type="dxa"/>
              <w:bottom w:w="0" w:type="dxa"/>
              <w:right w:w="115" w:type="dxa"/>
            </w:tcMar>
            <w:vAlign w:val="center"/>
            <w:hideMark/>
          </w:tcPr>
          <w:p w14:paraId="7FCCC032" w14:textId="77777777" w:rsidR="00A00074" w:rsidRPr="002E5315" w:rsidRDefault="00A00074" w:rsidP="005307B5">
            <w:pPr>
              <w:rPr>
                <w:sz w:val="20"/>
                <w:szCs w:val="20"/>
              </w:rPr>
            </w:pPr>
            <w:r w:rsidRPr="002E5315">
              <w:rPr>
                <w:rFonts w:cs="Calibri"/>
                <w:color w:val="000000"/>
                <w:sz w:val="20"/>
                <w:szCs w:val="20"/>
              </w:rPr>
              <w:t>77,1</w:t>
            </w:r>
          </w:p>
        </w:tc>
      </w:tr>
      <w:tr w:rsidR="00A00074" w:rsidRPr="002E5315" w14:paraId="3871E5F1" w14:textId="77777777" w:rsidTr="005307B5">
        <w:trPr>
          <w:trHeight w:val="300"/>
          <w:jc w:val="center"/>
        </w:trPr>
        <w:tc>
          <w:tcPr>
            <w:tcW w:w="0" w:type="auto"/>
            <w:tcBorders>
              <w:bottom w:val="single" w:sz="8" w:space="0" w:color="4F81BD"/>
            </w:tcBorders>
            <w:tcMar>
              <w:top w:w="0" w:type="dxa"/>
              <w:left w:w="115" w:type="dxa"/>
              <w:bottom w:w="0" w:type="dxa"/>
              <w:right w:w="115" w:type="dxa"/>
            </w:tcMar>
            <w:vAlign w:val="center"/>
            <w:hideMark/>
          </w:tcPr>
          <w:p w14:paraId="3D78B142" w14:textId="77777777" w:rsidR="00A00074" w:rsidRPr="002E5315" w:rsidRDefault="00A00074" w:rsidP="005307B5">
            <w:pPr>
              <w:rPr>
                <w:sz w:val="20"/>
                <w:szCs w:val="20"/>
              </w:rPr>
            </w:pPr>
            <w:r w:rsidRPr="002E5315">
              <w:rPr>
                <w:rFonts w:cs="Calibri"/>
                <w:b/>
                <w:bCs/>
                <w:color w:val="000000"/>
                <w:sz w:val="20"/>
                <w:szCs w:val="20"/>
              </w:rPr>
              <w:t>Ukupno</w:t>
            </w:r>
          </w:p>
        </w:tc>
        <w:tc>
          <w:tcPr>
            <w:tcW w:w="3121" w:type="dxa"/>
            <w:tcBorders>
              <w:bottom w:val="single" w:sz="8" w:space="0" w:color="4F81BD"/>
            </w:tcBorders>
            <w:tcMar>
              <w:top w:w="0" w:type="dxa"/>
              <w:left w:w="115" w:type="dxa"/>
              <w:bottom w:w="0" w:type="dxa"/>
              <w:right w:w="115" w:type="dxa"/>
            </w:tcMar>
            <w:vAlign w:val="center"/>
            <w:hideMark/>
          </w:tcPr>
          <w:p w14:paraId="5A350977" w14:textId="77777777" w:rsidR="00A00074" w:rsidRPr="002E5315" w:rsidRDefault="00A00074" w:rsidP="005307B5">
            <w:pPr>
              <w:rPr>
                <w:sz w:val="20"/>
                <w:szCs w:val="20"/>
              </w:rPr>
            </w:pPr>
            <w:r w:rsidRPr="002E5315">
              <w:rPr>
                <w:rFonts w:cs="Calibri"/>
                <w:b/>
                <w:bCs/>
                <w:color w:val="000000"/>
                <w:sz w:val="20"/>
                <w:szCs w:val="20"/>
              </w:rPr>
              <w:t>4.985/5.808</w:t>
            </w:r>
          </w:p>
        </w:tc>
        <w:tc>
          <w:tcPr>
            <w:tcW w:w="1404" w:type="dxa"/>
            <w:tcBorders>
              <w:bottom w:val="single" w:sz="8" w:space="0" w:color="4F81BD"/>
            </w:tcBorders>
            <w:tcMar>
              <w:top w:w="0" w:type="dxa"/>
              <w:left w:w="115" w:type="dxa"/>
              <w:bottom w:w="0" w:type="dxa"/>
              <w:right w:w="115" w:type="dxa"/>
            </w:tcMar>
            <w:vAlign w:val="center"/>
            <w:hideMark/>
          </w:tcPr>
          <w:p w14:paraId="3FB907ED" w14:textId="77777777" w:rsidR="00A00074" w:rsidRPr="002E5315" w:rsidRDefault="00A00074" w:rsidP="005307B5">
            <w:pPr>
              <w:rPr>
                <w:sz w:val="20"/>
                <w:szCs w:val="20"/>
              </w:rPr>
            </w:pPr>
            <w:r w:rsidRPr="002E5315">
              <w:rPr>
                <w:rFonts w:cs="Calibri"/>
                <w:b/>
                <w:bCs/>
                <w:color w:val="000000"/>
                <w:sz w:val="20"/>
                <w:szCs w:val="20"/>
              </w:rPr>
              <w:t>85,83%</w:t>
            </w:r>
          </w:p>
        </w:tc>
      </w:tr>
    </w:tbl>
    <w:p w14:paraId="2C7E9DC1" w14:textId="77777777" w:rsidR="00633D93" w:rsidRDefault="00F519D0" w:rsidP="00710EB6">
      <w:pPr>
        <w:spacing w:before="240"/>
        <w:rPr>
          <w:rFonts w:cs="Calibri"/>
          <w:szCs w:val="23"/>
        </w:rPr>
      </w:pPr>
      <w:r w:rsidRPr="002E5315">
        <w:rPr>
          <w:rFonts w:cs="Calibri"/>
          <w:szCs w:val="23"/>
        </w:rPr>
        <w:t>Kao i ranijih godina, uočeno je da tijela koja ne dostavljaju izvješće u pravilu nemaju niti imenovanog službenika za informiranje (kao što su dječji vrtići, domovi za starije i nemoćne, muzeji i druge kulturne ustanove, zatim veterinarske ambulante i komunalna društva te turističke i vatrogasne zajednice), a neka od njih to ne čine i iz razloga što se ne smatraju obveznicima primjene ZPPI-ja (npr. sportski savezi, turističke i vatrogasne zajednice, lokalna trgovačka društva, privatne ustanove, odnosno privatni vrtići, škole i ustanove socijalne skrbi)</w:t>
      </w:r>
      <w:r w:rsidR="00633D93">
        <w:rPr>
          <w:rFonts w:cs="Calibri"/>
          <w:szCs w:val="23"/>
        </w:rPr>
        <w:t>.</w:t>
      </w:r>
    </w:p>
    <w:p w14:paraId="218A93E6" w14:textId="671F07E4" w:rsidR="00F519D0" w:rsidRPr="002E5315" w:rsidRDefault="00F519D0" w:rsidP="00802E85">
      <w:pPr>
        <w:spacing w:before="240"/>
        <w:rPr>
          <w:rFonts w:cs="Calibri"/>
          <w:i/>
          <w:iCs/>
          <w:szCs w:val="23"/>
        </w:rPr>
      </w:pPr>
      <w:r w:rsidRPr="002E5315">
        <w:rPr>
          <w:rFonts w:cs="Calibri"/>
          <w:i/>
          <w:iCs/>
          <w:szCs w:val="23"/>
        </w:rPr>
        <w:t xml:space="preserve">Godišnje izvješće Povjerenika </w:t>
      </w:r>
    </w:p>
    <w:p w14:paraId="388F5C95" w14:textId="2D701216" w:rsidR="00633D93" w:rsidRDefault="00F519D0" w:rsidP="00F519D0">
      <w:pPr>
        <w:rPr>
          <w:rFonts w:cs="Calibri"/>
          <w:szCs w:val="23"/>
        </w:rPr>
      </w:pPr>
      <w:r w:rsidRPr="002E5315">
        <w:rPr>
          <w:rFonts w:cs="Calibri"/>
          <w:szCs w:val="23"/>
        </w:rPr>
        <w:t>Sukladno članku 60. stavku 4. Zakona, Povjerenik podnosi Hrvatskom saboru izvješće o provedbi Zakona najkasnije do 31.</w:t>
      </w:r>
      <w:r w:rsidR="00213335">
        <w:rPr>
          <w:rFonts w:cs="Calibri"/>
          <w:szCs w:val="23"/>
        </w:rPr>
        <w:t xml:space="preserve"> </w:t>
      </w:r>
      <w:r w:rsidRPr="002E5315">
        <w:rPr>
          <w:rFonts w:cs="Calibri"/>
          <w:szCs w:val="23"/>
        </w:rPr>
        <w:t>ožujka tekuće godine za prethodnu godinu</w:t>
      </w:r>
      <w:r w:rsidR="00633D93">
        <w:rPr>
          <w:rFonts w:cs="Calibri"/>
          <w:szCs w:val="23"/>
        </w:rPr>
        <w:t>.</w:t>
      </w:r>
    </w:p>
    <w:p w14:paraId="4F6DD17B" w14:textId="1076CC7C" w:rsidR="00F519D0" w:rsidRPr="002E5315" w:rsidRDefault="00F519D0" w:rsidP="00F519D0">
      <w:pPr>
        <w:rPr>
          <w:rFonts w:cs="Calibri"/>
          <w:szCs w:val="23"/>
        </w:rPr>
      </w:pPr>
      <w:r w:rsidRPr="002E5315">
        <w:rPr>
          <w:rFonts w:cs="Calibri"/>
          <w:szCs w:val="23"/>
        </w:rPr>
        <w:t>Za izradu ovog Izvješća, Povjerenik je prikupio podatke o provedbi ZPPI-ja od tijela javne vlasti, drugih tijela nadležnih za postupanja prema odredbama ZPPI-ja i drugim propisima te podatke iz vlastitih evidencija i ciljanih analitičkih praćenja.</w:t>
      </w:r>
    </w:p>
    <w:p w14:paraId="430A2E8E" w14:textId="7D4B6B17" w:rsidR="00F519D0" w:rsidRPr="002E5315" w:rsidRDefault="00F519D0" w:rsidP="00F519D0">
      <w:pPr>
        <w:rPr>
          <w:rFonts w:cs="Calibri"/>
          <w:szCs w:val="23"/>
        </w:rPr>
      </w:pPr>
      <w:r w:rsidRPr="002E5315">
        <w:rPr>
          <w:rFonts w:cs="Calibri"/>
          <w:szCs w:val="23"/>
        </w:rPr>
        <w:t>U svrhu izrade ovoga Izvješća korišteni su i podaci o provedbi pojedinih odredbi ZPPI-ja dostavljeni od Ustavnog suda RH, Visokog upravnog suda RH, Ureda Vijeća za nacionalnu sigurnost (dalje</w:t>
      </w:r>
      <w:r w:rsidR="0083093D">
        <w:rPr>
          <w:rFonts w:cs="Calibri"/>
          <w:szCs w:val="23"/>
        </w:rPr>
        <w:t>:</w:t>
      </w:r>
      <w:r w:rsidRPr="002E5315">
        <w:rPr>
          <w:rFonts w:cs="Calibri"/>
          <w:szCs w:val="23"/>
        </w:rPr>
        <w:t xml:space="preserve"> UVNS), Središnjeg državnog ureda za razvoj digitalnog društva (dalje</w:t>
      </w:r>
      <w:r w:rsidR="0083093D">
        <w:rPr>
          <w:rFonts w:cs="Calibri"/>
          <w:szCs w:val="23"/>
        </w:rPr>
        <w:t>:</w:t>
      </w:r>
      <w:r w:rsidRPr="002E5315">
        <w:rPr>
          <w:rFonts w:cs="Calibri"/>
          <w:szCs w:val="23"/>
        </w:rPr>
        <w:t xml:space="preserve"> SDURDD), </w:t>
      </w:r>
      <w:r w:rsidRPr="002E5315">
        <w:rPr>
          <w:rFonts w:cs="Calibri"/>
          <w:szCs w:val="23"/>
        </w:rPr>
        <w:lastRenderedPageBreak/>
        <w:t>Ureda za zakonodavstvo Vlade RH, Ministarstva kulture te Nacionalne i sveučilišne knjižnice u Zagrebu (dalje</w:t>
      </w:r>
      <w:r w:rsidR="0083093D">
        <w:rPr>
          <w:rFonts w:cs="Calibri"/>
          <w:szCs w:val="23"/>
        </w:rPr>
        <w:t>:</w:t>
      </w:r>
      <w:r w:rsidRPr="002E5315">
        <w:rPr>
          <w:rFonts w:cs="Calibri"/>
          <w:szCs w:val="23"/>
        </w:rPr>
        <w:t xml:space="preserve"> NSK).</w:t>
      </w:r>
    </w:p>
    <w:p w14:paraId="78A8D360" w14:textId="77777777" w:rsidR="00F519D0" w:rsidRPr="002E5315" w:rsidRDefault="00F519D0" w:rsidP="00F519D0">
      <w:pPr>
        <w:rPr>
          <w:rFonts w:cs="Calibri"/>
          <w:szCs w:val="23"/>
        </w:rPr>
      </w:pPr>
      <w:r w:rsidRPr="002E5315">
        <w:rPr>
          <w:rFonts w:cs="Calibri"/>
          <w:szCs w:val="23"/>
        </w:rPr>
        <w:t>Prikupljeni podaci su sistematizirani i analizirani u okviru postupanja po žalbama, predstavkama, inspekcijskom nadzoru i prekršajima, davanja odgovora na upite, provedbe edukativnih i promotivnih aktivnosti te provedenih praćenja stanja u odnosu na pojedine zakonske odredbe i obveze tijela javne vlasti.</w:t>
      </w:r>
    </w:p>
    <w:p w14:paraId="2EA3EB11" w14:textId="7FC20940" w:rsidR="009C030D" w:rsidRPr="002E5315" w:rsidRDefault="00F519D0" w:rsidP="00F519D0">
      <w:pPr>
        <w:rPr>
          <w:rFonts w:cs="Calibri"/>
          <w:szCs w:val="23"/>
        </w:rPr>
      </w:pPr>
      <w:r w:rsidRPr="002E5315">
        <w:rPr>
          <w:rFonts w:cs="Calibri"/>
          <w:szCs w:val="23"/>
        </w:rPr>
        <w:t>Izvješće je metodološki sistematizirano u tri glavne tematske cjeline (A – C), pri čemu se u prvoj analizira postupanje tijela i Povjerenika po zahtjevima korisnika i zaštita prava na pristup informacijama, dok se u drugoj prikazuju podaci vezano za praćenje i promicanje prava na pristup informacijama. Sukladno odredbi članka 60. stavka 5. ZPPI-ja, u završnom dijelu Izvješća, odnosno u trećoj tematskoj cjelini, daje se završna opća ocjena stanja te ocjena stanja po pojedinim područjima. S tim u svezi, u svakom se području utvrđuju prioriteti provedbe Zakona u 2020., daju se prijedlozi i preporuke za otklanjanje nedostataka i nepravilnosti te se navode prioriteti djelovanja Povjerenika i njegovog Ureda u 2020</w:t>
      </w:r>
      <w:r w:rsidR="00A00074" w:rsidRPr="002E5315">
        <w:rPr>
          <w:rFonts w:cs="Calibri"/>
          <w:szCs w:val="23"/>
        </w:rPr>
        <w:t>.</w:t>
      </w:r>
    </w:p>
    <w:p w14:paraId="751F8879" w14:textId="77777777" w:rsidR="009C030D" w:rsidRPr="002E5315" w:rsidRDefault="009C030D">
      <w:pPr>
        <w:rPr>
          <w:rFonts w:cs="Calibri"/>
          <w:szCs w:val="23"/>
        </w:rPr>
      </w:pPr>
      <w:r w:rsidRPr="002E5315">
        <w:rPr>
          <w:rFonts w:cs="Calibri"/>
          <w:szCs w:val="23"/>
        </w:rPr>
        <w:br w:type="page"/>
      </w:r>
    </w:p>
    <w:p w14:paraId="6D08787A" w14:textId="28CCC852" w:rsidR="007670C3" w:rsidRPr="002E5315" w:rsidRDefault="0076418D" w:rsidP="0076418D">
      <w:pPr>
        <w:pStyle w:val="Naslov1"/>
        <w:numPr>
          <w:ilvl w:val="0"/>
          <w:numId w:val="0"/>
        </w:numPr>
        <w:jc w:val="left"/>
      </w:pPr>
      <w:bookmarkStart w:id="8" w:name="_Toc36308914"/>
      <w:r w:rsidRPr="002E5315">
        <w:lastRenderedPageBreak/>
        <w:t xml:space="preserve">A) </w:t>
      </w:r>
      <w:r w:rsidR="00306035" w:rsidRPr="002E5315">
        <w:t>POSTUPANJE PO ZAHTJEVIMA KORISNIKA I ZAŠTITA</w:t>
      </w:r>
      <w:r w:rsidRPr="002E5315">
        <w:t xml:space="preserve"> </w:t>
      </w:r>
      <w:r w:rsidR="00306035" w:rsidRPr="002E5315">
        <w:t>PRAVA NA PRISTUP INFORMACIJAMA</w:t>
      </w:r>
      <w:bookmarkEnd w:id="8"/>
    </w:p>
    <w:p w14:paraId="7902D9ED" w14:textId="171A9B2B" w:rsidR="007670C3" w:rsidRPr="002E5315" w:rsidRDefault="007670C3" w:rsidP="007670C3">
      <w:pPr>
        <w:pStyle w:val="Naslov1"/>
      </w:pPr>
      <w:bookmarkStart w:id="9" w:name="_Toc36308915"/>
      <w:r w:rsidRPr="002E5315">
        <w:t>Postupanje tijela javne vlasti po zahtjevima korisnika</w:t>
      </w:r>
      <w:bookmarkEnd w:id="9"/>
    </w:p>
    <w:p w14:paraId="7D6F51CE" w14:textId="71096B73" w:rsidR="007670C3" w:rsidRPr="002E5315" w:rsidRDefault="007670C3" w:rsidP="007670C3">
      <w:pPr>
        <w:pStyle w:val="Naslov2"/>
      </w:pPr>
      <w:bookmarkStart w:id="10" w:name="_Toc36308916"/>
      <w:r w:rsidRPr="002E5315">
        <w:t>Zaprimljeni zahtjevi za pristup i ponovnu uporabu informacija</w:t>
      </w:r>
      <w:bookmarkEnd w:id="10"/>
    </w:p>
    <w:p w14:paraId="10738FAD" w14:textId="77777777" w:rsidR="00633D93" w:rsidRDefault="0023088D" w:rsidP="0023088D">
      <w:pPr>
        <w:rPr>
          <w:szCs w:val="23"/>
        </w:rPr>
      </w:pPr>
      <w:r w:rsidRPr="002E5315">
        <w:rPr>
          <w:szCs w:val="23"/>
        </w:rPr>
        <w:t>Obradom prvog dijela pitanja iz dostavljenih izvješća tijela javne vlasti o provedbi ZPPI-ja u 2019., utvrđeni su podaci o zaprimljenim zahtjevima za pristup i ponovnu uporabu informacija te o načinu njihova rješavanja</w:t>
      </w:r>
      <w:r w:rsidR="00633D93">
        <w:rPr>
          <w:szCs w:val="23"/>
        </w:rPr>
        <w:t>.</w:t>
      </w:r>
    </w:p>
    <w:p w14:paraId="2400FCDB" w14:textId="77777777" w:rsidR="00633D93" w:rsidRDefault="0023088D" w:rsidP="0023088D">
      <w:pPr>
        <w:rPr>
          <w:szCs w:val="23"/>
        </w:rPr>
      </w:pPr>
      <w:r w:rsidRPr="002E5315">
        <w:rPr>
          <w:szCs w:val="23"/>
        </w:rPr>
        <w:t>4.985 tijela koja su dostavila izvješće, navela su da su tijekom 2019. zaprimila ukupno</w:t>
      </w:r>
      <w:r w:rsidRPr="002E5315">
        <w:rPr>
          <w:b/>
          <w:szCs w:val="23"/>
        </w:rPr>
        <w:t xml:space="preserve"> 17.426 zahtjeva</w:t>
      </w:r>
      <w:r w:rsidRPr="002E5315">
        <w:rPr>
          <w:szCs w:val="23"/>
        </w:rPr>
        <w:t>, od čega je 17.191 zahtjeva za pristup informacijama, a 235 zahtjeva za ponovnu uporabu informacija. Nastavljen je trend blagog pada ukupnog broja zaprimljenih zahtjeva – nakon što je u 2018. broj zahtjeva smanjen za 18,6% u odnosu na godinu ranije, tijela su u 2019. zaprimila 3,7% zahtjeva manje u odnosu na 2018. (Tablica 2.1.). Obrazloženje navedenog trenda moguć je odraz sve višeg stupnja razumijevanja tijela o tome što zahtjev za pristup informacijama predstavlja i kako ga razlikovati od drugih podnesenih upita i zahtjeva</w:t>
      </w:r>
      <w:r w:rsidR="00633D93">
        <w:rPr>
          <w:szCs w:val="23"/>
        </w:rPr>
        <w:t>.</w:t>
      </w:r>
    </w:p>
    <w:p w14:paraId="41D37929" w14:textId="77777777" w:rsidR="00633D93" w:rsidRDefault="0023088D" w:rsidP="0023088D">
      <w:pPr>
        <w:rPr>
          <w:szCs w:val="23"/>
        </w:rPr>
      </w:pPr>
      <w:r w:rsidRPr="002E5315">
        <w:rPr>
          <w:szCs w:val="23"/>
        </w:rPr>
        <w:t xml:space="preserve">Od 4.985 tijela koja su dostavila izvješće, 2.862 navelo je da nije zaprimilo nijedan zahtjev za pristup, a 4.918 nije zaprimilo nijedan zahtjev za ponovnu uporabu informacija. Ukupno gledajući, 2.856 tijela nije zaprimilo nijedan zahtjev za pristup i ponovnu uporabu informacija, iz čega proizlazi da se </w:t>
      </w:r>
      <w:r w:rsidRPr="002E5315">
        <w:rPr>
          <w:b/>
          <w:bCs/>
          <w:szCs w:val="23"/>
        </w:rPr>
        <w:t>17.426 podnesenih zahtjeva odnosi na 2.129 tijela, što je 36,7% tijela s Popisa</w:t>
      </w:r>
      <w:r w:rsidR="00633D93">
        <w:rPr>
          <w:szCs w:val="23"/>
        </w:rPr>
        <w:t>.</w:t>
      </w:r>
    </w:p>
    <w:p w14:paraId="5F3212FD" w14:textId="54F122DE" w:rsidR="007670C3" w:rsidRPr="002E5315" w:rsidRDefault="007670C3" w:rsidP="00A05CD7">
      <w:pPr>
        <w:spacing w:before="240"/>
        <w:rPr>
          <w:sz w:val="20"/>
          <w:szCs w:val="20"/>
        </w:rPr>
      </w:pPr>
      <w:r w:rsidRPr="002E5315">
        <w:rPr>
          <w:sz w:val="20"/>
          <w:szCs w:val="20"/>
        </w:rPr>
        <w:t>Tablica 2.1. Ukupan broj zaprimljenih zahtjeva 2013.-2019.</w:t>
      </w:r>
    </w:p>
    <w:tbl>
      <w:tblPr>
        <w:tblW w:w="4942" w:type="pct"/>
        <w:jc w:val="center"/>
        <w:tblBorders>
          <w:top w:val="single" w:sz="8" w:space="0" w:color="4F81BD"/>
          <w:bottom w:val="single" w:sz="8" w:space="0" w:color="4F81BD"/>
        </w:tblBorders>
        <w:tblLook w:val="04A0" w:firstRow="1" w:lastRow="0" w:firstColumn="1" w:lastColumn="0" w:noHBand="0" w:noVBand="1"/>
      </w:tblPr>
      <w:tblGrid>
        <w:gridCol w:w="1161"/>
        <w:gridCol w:w="1161"/>
        <w:gridCol w:w="1161"/>
        <w:gridCol w:w="1161"/>
        <w:gridCol w:w="1161"/>
        <w:gridCol w:w="1161"/>
        <w:gridCol w:w="1160"/>
        <w:gridCol w:w="1054"/>
      </w:tblGrid>
      <w:tr w:rsidR="007670C3" w:rsidRPr="002E5315" w14:paraId="1F8E4D30" w14:textId="77777777" w:rsidTr="00A05CD7">
        <w:trPr>
          <w:trHeight w:val="312"/>
          <w:jc w:val="center"/>
        </w:trPr>
        <w:tc>
          <w:tcPr>
            <w:tcW w:w="632" w:type="pct"/>
            <w:tcBorders>
              <w:top w:val="single" w:sz="8" w:space="0" w:color="4F81BD"/>
              <w:left w:val="nil"/>
              <w:bottom w:val="single" w:sz="8" w:space="0" w:color="4F81BD"/>
              <w:right w:val="nil"/>
            </w:tcBorders>
            <w:shd w:val="clear" w:color="auto" w:fill="auto"/>
            <w:vAlign w:val="center"/>
          </w:tcPr>
          <w:p w14:paraId="1F0F5791" w14:textId="77777777" w:rsidR="007670C3" w:rsidRPr="002E5315" w:rsidRDefault="007670C3" w:rsidP="005307B5">
            <w:pPr>
              <w:rPr>
                <w:b/>
                <w:bCs/>
                <w:color w:val="000000"/>
                <w:sz w:val="20"/>
                <w:szCs w:val="20"/>
              </w:rPr>
            </w:pPr>
            <w:r w:rsidRPr="002E5315">
              <w:rPr>
                <w:b/>
                <w:bCs/>
                <w:color w:val="000000"/>
                <w:sz w:val="20"/>
                <w:szCs w:val="20"/>
              </w:rPr>
              <w:t>Zahtjevi</w:t>
            </w:r>
          </w:p>
        </w:tc>
        <w:tc>
          <w:tcPr>
            <w:tcW w:w="632" w:type="pct"/>
            <w:tcBorders>
              <w:top w:val="single" w:sz="8" w:space="0" w:color="4F81BD"/>
              <w:left w:val="nil"/>
              <w:bottom w:val="single" w:sz="8" w:space="0" w:color="4F81BD"/>
              <w:right w:val="nil"/>
            </w:tcBorders>
            <w:vAlign w:val="center"/>
          </w:tcPr>
          <w:p w14:paraId="2A9F1F7B" w14:textId="77777777" w:rsidR="007670C3" w:rsidRPr="002E5315" w:rsidRDefault="007670C3" w:rsidP="005307B5">
            <w:pPr>
              <w:rPr>
                <w:b/>
                <w:bCs/>
                <w:color w:val="000000"/>
                <w:sz w:val="20"/>
                <w:szCs w:val="20"/>
              </w:rPr>
            </w:pPr>
            <w:r w:rsidRPr="002E5315">
              <w:rPr>
                <w:b/>
                <w:bCs/>
                <w:color w:val="000000"/>
                <w:sz w:val="20"/>
                <w:szCs w:val="20"/>
              </w:rPr>
              <w:t>2013.</w:t>
            </w:r>
          </w:p>
        </w:tc>
        <w:tc>
          <w:tcPr>
            <w:tcW w:w="632" w:type="pct"/>
            <w:tcBorders>
              <w:top w:val="single" w:sz="8" w:space="0" w:color="4F81BD"/>
              <w:left w:val="nil"/>
              <w:bottom w:val="single" w:sz="8" w:space="0" w:color="4F81BD"/>
              <w:right w:val="nil"/>
            </w:tcBorders>
            <w:vAlign w:val="center"/>
          </w:tcPr>
          <w:p w14:paraId="3587884D" w14:textId="77777777" w:rsidR="007670C3" w:rsidRPr="002E5315" w:rsidRDefault="007670C3" w:rsidP="005307B5">
            <w:pPr>
              <w:rPr>
                <w:b/>
                <w:bCs/>
                <w:color w:val="000000"/>
                <w:sz w:val="20"/>
                <w:szCs w:val="20"/>
              </w:rPr>
            </w:pPr>
            <w:r w:rsidRPr="002E5315">
              <w:rPr>
                <w:b/>
                <w:bCs/>
                <w:color w:val="000000"/>
                <w:sz w:val="20"/>
                <w:szCs w:val="20"/>
              </w:rPr>
              <w:t>2014.</w:t>
            </w:r>
          </w:p>
        </w:tc>
        <w:tc>
          <w:tcPr>
            <w:tcW w:w="632" w:type="pct"/>
            <w:tcBorders>
              <w:top w:val="single" w:sz="8" w:space="0" w:color="4F81BD"/>
              <w:left w:val="nil"/>
              <w:bottom w:val="single" w:sz="8" w:space="0" w:color="4F81BD"/>
              <w:right w:val="nil"/>
            </w:tcBorders>
            <w:vAlign w:val="center"/>
          </w:tcPr>
          <w:p w14:paraId="2B84CAEA" w14:textId="77777777" w:rsidR="007670C3" w:rsidRPr="002E5315" w:rsidRDefault="007670C3" w:rsidP="005307B5">
            <w:pPr>
              <w:rPr>
                <w:b/>
                <w:bCs/>
                <w:color w:val="000000"/>
                <w:sz w:val="20"/>
                <w:szCs w:val="20"/>
              </w:rPr>
            </w:pPr>
            <w:r w:rsidRPr="002E5315">
              <w:rPr>
                <w:b/>
                <w:bCs/>
                <w:color w:val="000000"/>
                <w:sz w:val="20"/>
                <w:szCs w:val="20"/>
              </w:rPr>
              <w:t>2015.</w:t>
            </w:r>
          </w:p>
        </w:tc>
        <w:tc>
          <w:tcPr>
            <w:tcW w:w="632" w:type="pct"/>
            <w:tcBorders>
              <w:top w:val="single" w:sz="8" w:space="0" w:color="4F81BD"/>
              <w:left w:val="nil"/>
              <w:bottom w:val="single" w:sz="8" w:space="0" w:color="4F81BD"/>
              <w:right w:val="nil"/>
            </w:tcBorders>
            <w:vAlign w:val="center"/>
          </w:tcPr>
          <w:p w14:paraId="20693DCA" w14:textId="77777777" w:rsidR="007670C3" w:rsidRPr="002E5315" w:rsidRDefault="007670C3" w:rsidP="005307B5">
            <w:pPr>
              <w:rPr>
                <w:b/>
                <w:bCs/>
                <w:color w:val="000000"/>
                <w:sz w:val="20"/>
                <w:szCs w:val="20"/>
              </w:rPr>
            </w:pPr>
            <w:r w:rsidRPr="002E5315">
              <w:rPr>
                <w:b/>
                <w:bCs/>
                <w:color w:val="000000"/>
                <w:sz w:val="20"/>
                <w:szCs w:val="20"/>
              </w:rPr>
              <w:t>2016.</w:t>
            </w:r>
          </w:p>
        </w:tc>
        <w:tc>
          <w:tcPr>
            <w:tcW w:w="632" w:type="pct"/>
            <w:tcBorders>
              <w:top w:val="single" w:sz="8" w:space="0" w:color="4F81BD"/>
              <w:left w:val="nil"/>
              <w:bottom w:val="single" w:sz="8" w:space="0" w:color="4F81BD"/>
              <w:right w:val="nil"/>
            </w:tcBorders>
            <w:vAlign w:val="center"/>
          </w:tcPr>
          <w:p w14:paraId="00742C81" w14:textId="77777777" w:rsidR="007670C3" w:rsidRPr="002E5315" w:rsidRDefault="007670C3" w:rsidP="005307B5">
            <w:pPr>
              <w:rPr>
                <w:b/>
                <w:bCs/>
                <w:color w:val="000000"/>
                <w:sz w:val="20"/>
                <w:szCs w:val="20"/>
              </w:rPr>
            </w:pPr>
            <w:r w:rsidRPr="002E5315">
              <w:rPr>
                <w:b/>
                <w:bCs/>
                <w:color w:val="000000"/>
                <w:sz w:val="20"/>
                <w:szCs w:val="20"/>
              </w:rPr>
              <w:t>2017.</w:t>
            </w:r>
          </w:p>
        </w:tc>
        <w:tc>
          <w:tcPr>
            <w:tcW w:w="632" w:type="pct"/>
            <w:tcBorders>
              <w:top w:val="single" w:sz="8" w:space="0" w:color="4F81BD"/>
              <w:left w:val="nil"/>
              <w:bottom w:val="single" w:sz="8" w:space="0" w:color="4F81BD"/>
              <w:right w:val="nil"/>
            </w:tcBorders>
            <w:vAlign w:val="center"/>
          </w:tcPr>
          <w:p w14:paraId="03DBF43C" w14:textId="77777777" w:rsidR="007670C3" w:rsidRPr="002E5315" w:rsidRDefault="007670C3" w:rsidP="005307B5">
            <w:pPr>
              <w:rPr>
                <w:b/>
                <w:bCs/>
                <w:color w:val="000000"/>
                <w:sz w:val="20"/>
                <w:szCs w:val="20"/>
              </w:rPr>
            </w:pPr>
            <w:r w:rsidRPr="002E5315">
              <w:rPr>
                <w:b/>
                <w:bCs/>
                <w:color w:val="000000"/>
                <w:sz w:val="20"/>
                <w:szCs w:val="20"/>
              </w:rPr>
              <w:t>2018.</w:t>
            </w:r>
          </w:p>
        </w:tc>
        <w:tc>
          <w:tcPr>
            <w:tcW w:w="574" w:type="pct"/>
            <w:tcBorders>
              <w:top w:val="single" w:sz="8" w:space="0" w:color="4F81BD"/>
              <w:left w:val="nil"/>
              <w:bottom w:val="single" w:sz="8" w:space="0" w:color="4F81BD"/>
              <w:right w:val="nil"/>
            </w:tcBorders>
            <w:vAlign w:val="center"/>
          </w:tcPr>
          <w:p w14:paraId="28354B16" w14:textId="77777777" w:rsidR="007670C3" w:rsidRPr="002E5315" w:rsidRDefault="007670C3" w:rsidP="005307B5">
            <w:pPr>
              <w:rPr>
                <w:b/>
                <w:bCs/>
                <w:color w:val="000000"/>
                <w:sz w:val="20"/>
                <w:szCs w:val="20"/>
              </w:rPr>
            </w:pPr>
            <w:r w:rsidRPr="002E5315">
              <w:rPr>
                <w:b/>
                <w:bCs/>
                <w:color w:val="000000"/>
                <w:sz w:val="20"/>
                <w:szCs w:val="20"/>
              </w:rPr>
              <w:t>2019.</w:t>
            </w:r>
          </w:p>
        </w:tc>
      </w:tr>
      <w:tr w:rsidR="007670C3" w:rsidRPr="002E5315" w14:paraId="2789CC82" w14:textId="77777777" w:rsidTr="00756407">
        <w:trPr>
          <w:trHeight w:val="20"/>
          <w:jc w:val="center"/>
        </w:trPr>
        <w:tc>
          <w:tcPr>
            <w:tcW w:w="632" w:type="pct"/>
            <w:tcBorders>
              <w:left w:val="nil"/>
              <w:right w:val="nil"/>
            </w:tcBorders>
            <w:shd w:val="clear" w:color="auto" w:fill="D9E2F3" w:themeFill="accent1" w:themeFillTint="33"/>
            <w:vAlign w:val="center"/>
          </w:tcPr>
          <w:p w14:paraId="3133FBD9" w14:textId="77777777" w:rsidR="007670C3" w:rsidRPr="002E5315" w:rsidRDefault="007670C3" w:rsidP="005307B5">
            <w:pPr>
              <w:rPr>
                <w:b/>
                <w:bCs/>
                <w:color w:val="000000"/>
                <w:sz w:val="20"/>
                <w:szCs w:val="20"/>
              </w:rPr>
            </w:pPr>
            <w:r w:rsidRPr="002E5315">
              <w:rPr>
                <w:b/>
                <w:bCs/>
                <w:color w:val="000000"/>
                <w:sz w:val="20"/>
                <w:szCs w:val="20"/>
              </w:rPr>
              <w:t>Broj</w:t>
            </w:r>
          </w:p>
        </w:tc>
        <w:tc>
          <w:tcPr>
            <w:tcW w:w="632" w:type="pct"/>
            <w:tcBorders>
              <w:left w:val="nil"/>
              <w:right w:val="nil"/>
            </w:tcBorders>
            <w:shd w:val="clear" w:color="auto" w:fill="D9E2F3" w:themeFill="accent1" w:themeFillTint="33"/>
            <w:vAlign w:val="center"/>
          </w:tcPr>
          <w:p w14:paraId="32518804" w14:textId="77777777" w:rsidR="007670C3" w:rsidRPr="002E5315" w:rsidRDefault="007670C3" w:rsidP="005307B5">
            <w:pPr>
              <w:rPr>
                <w:color w:val="000000"/>
                <w:sz w:val="20"/>
                <w:szCs w:val="20"/>
              </w:rPr>
            </w:pPr>
            <w:r w:rsidRPr="002E5315">
              <w:rPr>
                <w:color w:val="000000"/>
                <w:sz w:val="20"/>
                <w:szCs w:val="20"/>
              </w:rPr>
              <w:t>24.330</w:t>
            </w:r>
          </w:p>
        </w:tc>
        <w:tc>
          <w:tcPr>
            <w:tcW w:w="632" w:type="pct"/>
            <w:tcBorders>
              <w:left w:val="nil"/>
              <w:right w:val="nil"/>
            </w:tcBorders>
            <w:shd w:val="clear" w:color="auto" w:fill="D9E2F3" w:themeFill="accent1" w:themeFillTint="33"/>
            <w:vAlign w:val="center"/>
          </w:tcPr>
          <w:p w14:paraId="7CDBCAEB" w14:textId="77777777" w:rsidR="007670C3" w:rsidRPr="002E5315" w:rsidRDefault="007670C3" w:rsidP="005307B5">
            <w:pPr>
              <w:rPr>
                <w:color w:val="000000"/>
                <w:sz w:val="20"/>
                <w:szCs w:val="20"/>
              </w:rPr>
            </w:pPr>
            <w:r w:rsidRPr="002E5315">
              <w:rPr>
                <w:color w:val="000000"/>
                <w:sz w:val="20"/>
                <w:szCs w:val="20"/>
              </w:rPr>
              <w:t>21.078</w:t>
            </w:r>
          </w:p>
        </w:tc>
        <w:tc>
          <w:tcPr>
            <w:tcW w:w="632" w:type="pct"/>
            <w:tcBorders>
              <w:left w:val="nil"/>
              <w:right w:val="nil"/>
            </w:tcBorders>
            <w:shd w:val="clear" w:color="auto" w:fill="D9E2F3" w:themeFill="accent1" w:themeFillTint="33"/>
            <w:vAlign w:val="center"/>
          </w:tcPr>
          <w:p w14:paraId="17048A2E" w14:textId="77777777" w:rsidR="007670C3" w:rsidRPr="002E5315" w:rsidRDefault="007670C3" w:rsidP="005307B5">
            <w:pPr>
              <w:rPr>
                <w:color w:val="000000"/>
                <w:sz w:val="20"/>
                <w:szCs w:val="20"/>
              </w:rPr>
            </w:pPr>
            <w:r w:rsidRPr="002E5315">
              <w:rPr>
                <w:color w:val="000000"/>
                <w:sz w:val="20"/>
                <w:szCs w:val="20"/>
              </w:rPr>
              <w:t>18.007</w:t>
            </w:r>
          </w:p>
        </w:tc>
        <w:tc>
          <w:tcPr>
            <w:tcW w:w="632" w:type="pct"/>
            <w:tcBorders>
              <w:left w:val="nil"/>
              <w:right w:val="nil"/>
            </w:tcBorders>
            <w:shd w:val="clear" w:color="auto" w:fill="D9E2F3" w:themeFill="accent1" w:themeFillTint="33"/>
            <w:vAlign w:val="center"/>
          </w:tcPr>
          <w:p w14:paraId="2435B8B1" w14:textId="77777777" w:rsidR="007670C3" w:rsidRPr="002E5315" w:rsidRDefault="007670C3" w:rsidP="005307B5">
            <w:pPr>
              <w:rPr>
                <w:color w:val="000000"/>
                <w:sz w:val="20"/>
                <w:szCs w:val="20"/>
              </w:rPr>
            </w:pPr>
            <w:r w:rsidRPr="002E5315">
              <w:rPr>
                <w:color w:val="000000"/>
                <w:sz w:val="20"/>
                <w:szCs w:val="20"/>
              </w:rPr>
              <w:t>17.059</w:t>
            </w:r>
          </w:p>
        </w:tc>
        <w:tc>
          <w:tcPr>
            <w:tcW w:w="632" w:type="pct"/>
            <w:tcBorders>
              <w:left w:val="nil"/>
              <w:right w:val="nil"/>
            </w:tcBorders>
            <w:shd w:val="clear" w:color="auto" w:fill="D9E2F3" w:themeFill="accent1" w:themeFillTint="33"/>
            <w:vAlign w:val="center"/>
          </w:tcPr>
          <w:p w14:paraId="3BFB17B2" w14:textId="77777777" w:rsidR="007670C3" w:rsidRPr="002E5315" w:rsidRDefault="007670C3" w:rsidP="005307B5">
            <w:pPr>
              <w:rPr>
                <w:color w:val="000000"/>
                <w:sz w:val="20"/>
                <w:szCs w:val="20"/>
              </w:rPr>
            </w:pPr>
            <w:r w:rsidRPr="002E5315">
              <w:rPr>
                <w:color w:val="000000"/>
                <w:sz w:val="20"/>
                <w:szCs w:val="20"/>
              </w:rPr>
              <w:t>22.226</w:t>
            </w:r>
          </w:p>
        </w:tc>
        <w:tc>
          <w:tcPr>
            <w:tcW w:w="632" w:type="pct"/>
            <w:tcBorders>
              <w:left w:val="nil"/>
              <w:right w:val="nil"/>
            </w:tcBorders>
            <w:shd w:val="clear" w:color="auto" w:fill="D9E2F3" w:themeFill="accent1" w:themeFillTint="33"/>
            <w:vAlign w:val="center"/>
          </w:tcPr>
          <w:p w14:paraId="2AC8E6C0" w14:textId="77777777" w:rsidR="007670C3" w:rsidRPr="002E5315" w:rsidRDefault="007670C3" w:rsidP="005307B5">
            <w:pPr>
              <w:rPr>
                <w:color w:val="000000"/>
                <w:sz w:val="20"/>
                <w:szCs w:val="20"/>
              </w:rPr>
            </w:pPr>
            <w:r w:rsidRPr="002E5315">
              <w:rPr>
                <w:color w:val="000000"/>
                <w:sz w:val="20"/>
                <w:szCs w:val="20"/>
              </w:rPr>
              <w:t>18.092</w:t>
            </w:r>
          </w:p>
        </w:tc>
        <w:tc>
          <w:tcPr>
            <w:tcW w:w="574" w:type="pct"/>
            <w:tcBorders>
              <w:left w:val="nil"/>
              <w:right w:val="nil"/>
            </w:tcBorders>
            <w:shd w:val="clear" w:color="auto" w:fill="D9E2F3" w:themeFill="accent1" w:themeFillTint="33"/>
            <w:vAlign w:val="center"/>
          </w:tcPr>
          <w:p w14:paraId="78491A7B" w14:textId="77777777" w:rsidR="007670C3" w:rsidRPr="002E5315" w:rsidRDefault="007670C3" w:rsidP="005307B5">
            <w:pPr>
              <w:rPr>
                <w:color w:val="000000"/>
                <w:sz w:val="20"/>
                <w:szCs w:val="20"/>
              </w:rPr>
            </w:pPr>
            <w:r w:rsidRPr="002E5315">
              <w:rPr>
                <w:color w:val="000000"/>
                <w:sz w:val="20"/>
                <w:szCs w:val="20"/>
              </w:rPr>
              <w:t>17.426</w:t>
            </w:r>
          </w:p>
        </w:tc>
      </w:tr>
    </w:tbl>
    <w:p w14:paraId="13B442AB" w14:textId="77777777" w:rsidR="001F0F8F" w:rsidRPr="002E5315" w:rsidRDefault="007670C3" w:rsidP="00A05CD7">
      <w:pPr>
        <w:spacing w:before="240"/>
        <w:rPr>
          <w:szCs w:val="23"/>
        </w:rPr>
      </w:pPr>
      <w:r w:rsidRPr="002E5315">
        <w:rPr>
          <w:szCs w:val="23"/>
        </w:rPr>
        <w:t xml:space="preserve">Među tijelima koja su zaprimila najveći broj zahtjeva za pristup i ponovnu uporabu informacija u </w:t>
      </w:r>
      <w:r w:rsidR="001F0F8F" w:rsidRPr="002E5315">
        <w:rPr>
          <w:szCs w:val="23"/>
        </w:rPr>
        <w:t>2019., kao i ranijih godina ističu se Hrvatske vode (815), Grad Zagreb (459), Ministarstvo zaštite okoliša i energetike (196), Povjerenstvo za odlučivanje o sukobu interesa (175), Ministarstvo graditeljstva i prostornoga uređenja (159), Hrvatski zavod za zdravstveno osiguranje (144), Ministarstvo unutarnjih poslova (144), Hrvatske autoceste – HAC d.o.o. (131), Ministarstvo znanosti i obrazovanja (118), Ministarstvo pravosuđa (115), Ministarstvo zdravstva (107), Hrvatska elektroprivreda d.d. – HEP (101) i Hrvatski sabor (100).</w:t>
      </w:r>
    </w:p>
    <w:p w14:paraId="5B8F2908" w14:textId="77777777" w:rsidR="00633D93" w:rsidRDefault="001F0F8F" w:rsidP="001F0F8F">
      <w:pPr>
        <w:rPr>
          <w:szCs w:val="23"/>
        </w:rPr>
      </w:pPr>
      <w:r w:rsidRPr="002E5315">
        <w:rPr>
          <w:szCs w:val="23"/>
        </w:rPr>
        <w:t>Valja napomenuti da su se prilikom preliminarne</w:t>
      </w:r>
      <w:r w:rsidRPr="002E5315">
        <w:rPr>
          <w:color w:val="FF0000"/>
          <w:szCs w:val="23"/>
        </w:rPr>
        <w:t xml:space="preserve"> </w:t>
      </w:r>
      <w:r w:rsidRPr="002E5315">
        <w:rPr>
          <w:szCs w:val="23"/>
        </w:rPr>
        <w:t xml:space="preserve">obrade dostavljenih podataka, među prvih 20 tijela koja su zaprimila najveći broj zahtjeva za pristup informacijama, istaknule dvije knjižnice (preko 2.000), jedno učilište (856), srednja škola (344), dva lokalna trgovačka društva (569 i 319), dva društva Crvenog križa (211 i 144) i ustanova socijalne skrbi (169). Međutim, po obavljenom razgovoru s navedenim tijelima, naknadnom provjerom utvrđeno je da se uopće ne radi o zahtjevima podnesenima sukladno ZPPI-ju </w:t>
      </w:r>
      <w:r w:rsidRPr="002E5315">
        <w:rPr>
          <w:color w:val="000000" w:themeColor="text1"/>
          <w:szCs w:val="23"/>
        </w:rPr>
        <w:t>već o obavljanju njihove redovne djelatnosti</w:t>
      </w:r>
      <w:r w:rsidRPr="002E5315">
        <w:rPr>
          <w:szCs w:val="23"/>
        </w:rPr>
        <w:t xml:space="preserve">, pa su </w:t>
      </w:r>
      <w:r w:rsidRPr="002E5315">
        <w:rPr>
          <w:szCs w:val="23"/>
        </w:rPr>
        <w:lastRenderedPageBreak/>
        <w:t>stoga predmetne brojke prepravljene te je ukupan broj zaprimljenih zahtjeva smanjen za nekoliko tisuća</w:t>
      </w:r>
      <w:r w:rsidR="00633D93">
        <w:rPr>
          <w:szCs w:val="23"/>
        </w:rPr>
        <w:t>.</w:t>
      </w:r>
    </w:p>
    <w:p w14:paraId="353B8A12" w14:textId="77777777" w:rsidR="00633D93" w:rsidRDefault="001F0F8F" w:rsidP="001F0F8F">
      <w:pPr>
        <w:rPr>
          <w:szCs w:val="23"/>
        </w:rPr>
      </w:pPr>
      <w:r w:rsidRPr="002E5315">
        <w:rPr>
          <w:szCs w:val="23"/>
        </w:rPr>
        <w:t>Naknadna provjera izvršena je i za utvrđeni broj zaprimljenih zahtjeva za ponovnu uporabu. Naime, među prvih 20 tijela s najvećim brojem zahtjeva, za 13 (primjerice, osnovna škola je navela 62 zahtjeva, društvo Crvenog križa 28, ustanova socijalne skrbi 23 itd.) je naknadnom provjerom utvrđeno da se nije radilo o ponovnoj uporabi informacija, budući da je riječ o tijelima koja u okviru svoje nadležnosti ne vode skupove podataka pogodne za ponovnu uporabu. Tijelo koje je navelo da je zaprimilo najveći broj zahtjeva za ponovnu uporabu je Hrvatski restauratorski zavod (82), međutim, nakon razgovora sa službenikom za informiranje, utvrđeno je da je u većini slučajeva bila riječ o traženjima stručne dokumentacije Zavoda, što spada pod zahtjeve za pristup, a ne za ponovnu uporabu. Naime, Zavod kao ustanova u kulturi ne potpada pod</w:t>
      </w:r>
      <w:r w:rsidRPr="002E5315">
        <w:rPr>
          <w:color w:val="FF0000"/>
          <w:szCs w:val="23"/>
        </w:rPr>
        <w:t xml:space="preserve"> </w:t>
      </w:r>
      <w:r w:rsidRPr="002E5315">
        <w:rPr>
          <w:szCs w:val="23"/>
        </w:rPr>
        <w:t>knjižnice, muzeje i arhive, stoga rješenjem treba odbiti zahtjeve za ponovnu uporabu ako se odnose na stručne informacije Zavoda</w:t>
      </w:r>
      <w:r w:rsidR="00633D93">
        <w:rPr>
          <w:szCs w:val="23"/>
        </w:rPr>
        <w:t>.</w:t>
      </w:r>
    </w:p>
    <w:p w14:paraId="740B1DD7" w14:textId="77777777" w:rsidR="00633D93" w:rsidRDefault="001F0F8F" w:rsidP="001F0F8F">
      <w:pPr>
        <w:rPr>
          <w:szCs w:val="23"/>
        </w:rPr>
      </w:pPr>
      <w:r w:rsidRPr="002E5315">
        <w:rPr>
          <w:szCs w:val="23"/>
        </w:rPr>
        <w:t>Što se tiče ostalih tijela, a nakon unesenih ispravaka, najviše zahtjeva za ponovnu uporabu zaprimile su Hrvatske ceste d.o.o. i Ministarstvo graditeljstva i prostornoga uređenja (5), a 1-4 zahtjeva zaprimila su tijela koja u okviru svoje nadležnosti vode skupove podataka pogodne za ponovnu uporabu (npr. Ministarstvo znanosti i obrazovanja, gradovi Karlovac i Rijeka, HALMED), ali i neka tijela koja su vjerojatno krivo protumačila značenje ponovne uporabe informacija (sportski savezi, vatrogasne postrojbe, škole), stoga je ukupan broj zahtjeva za ponovnu uporabu u realitetu još i manji od navedenog. Naime naknadnom provjerom su bile obuhvaćene samo „prevelike“ brojke zahtjeva kod tijela koja su „iskočila“</w:t>
      </w:r>
      <w:r w:rsidRPr="002E5315">
        <w:rPr>
          <w:color w:val="FF0000"/>
          <w:szCs w:val="23"/>
        </w:rPr>
        <w:t xml:space="preserve"> </w:t>
      </w:r>
      <w:r w:rsidRPr="002E5315">
        <w:rPr>
          <w:szCs w:val="23"/>
        </w:rPr>
        <w:t>u odnosu na druga tijela iz iste skupine, stoga se podaci dostavljeni putem izvješća ne mogu smatrati u cijelosti točnima te je moguće da je realan broj zahtjeva zapravo znatno manji od navedenog</w:t>
      </w:r>
      <w:r w:rsidR="00633D93">
        <w:rPr>
          <w:szCs w:val="23"/>
        </w:rPr>
        <w:t>.</w:t>
      </w:r>
    </w:p>
    <w:p w14:paraId="51E427B6" w14:textId="482CA6E3" w:rsidR="007670C3" w:rsidRPr="002E5315" w:rsidRDefault="001F0F8F" w:rsidP="001F0F8F">
      <w:pPr>
        <w:rPr>
          <w:szCs w:val="23"/>
        </w:rPr>
      </w:pPr>
      <w:r w:rsidRPr="002E5315">
        <w:rPr>
          <w:iCs/>
          <w:szCs w:val="23"/>
        </w:rPr>
        <w:t>Zbog uočenih nedostataka koji se ponavljaju iz godine u godinu i znatno utječu na vjerodostojnost dostavljenih</w:t>
      </w:r>
      <w:r w:rsidR="00954DB8" w:rsidRPr="002E5315">
        <w:rPr>
          <w:iCs/>
          <w:szCs w:val="23"/>
        </w:rPr>
        <w:t xml:space="preserve"> </w:t>
      </w:r>
      <w:r w:rsidRPr="002E5315">
        <w:rPr>
          <w:iCs/>
          <w:szCs w:val="23"/>
        </w:rPr>
        <w:t>izvješća tijela javne vlasti, Povjerenik je izradio projektni prijedlog i krenuo u postupak ugovaranja projekta, čiji je sastavni dio digitalizacija službenog upisnika o zahtjevima, što će Uredu povjerenika omogućiti, između ostalog i provjeru podataka koje tijela javne vlasti unose u upisnik</w:t>
      </w:r>
      <w:r w:rsidR="007670C3" w:rsidRPr="002E5315">
        <w:rPr>
          <w:i/>
          <w:szCs w:val="23"/>
        </w:rPr>
        <w:t>.</w:t>
      </w:r>
    </w:p>
    <w:p w14:paraId="4693C4EA" w14:textId="22739E0D" w:rsidR="007670C3" w:rsidRPr="002E5315" w:rsidRDefault="007670C3" w:rsidP="007670C3">
      <w:pPr>
        <w:pStyle w:val="Naslov2"/>
      </w:pPr>
      <w:bookmarkStart w:id="11" w:name="_Toc36308917"/>
      <w:r w:rsidRPr="002E5315">
        <w:t>Rješavanje zahtjeva za pristup informacijama</w:t>
      </w:r>
      <w:bookmarkEnd w:id="11"/>
    </w:p>
    <w:p w14:paraId="4A25BC5B" w14:textId="77777777" w:rsidR="005823CA" w:rsidRPr="002E5315" w:rsidRDefault="005823CA" w:rsidP="005823CA">
      <w:pPr>
        <w:rPr>
          <w:szCs w:val="23"/>
        </w:rPr>
      </w:pPr>
      <w:r w:rsidRPr="002E5315">
        <w:rPr>
          <w:szCs w:val="23"/>
        </w:rPr>
        <w:t>Prema podacima iz izvješća, tijela su tijekom 2019. zaprimila 17.191 zahtjev</w:t>
      </w:r>
      <w:r w:rsidRPr="002E5315">
        <w:rPr>
          <w:strike/>
          <w:szCs w:val="23"/>
        </w:rPr>
        <w:t>a</w:t>
      </w:r>
      <w:r w:rsidRPr="002E5315">
        <w:rPr>
          <w:szCs w:val="23"/>
        </w:rPr>
        <w:t xml:space="preserve"> za pristup informacijama, što predstavlja blagi pad u odnosu na 2018., kad ih je zaprimljeno 17.699. Ujedno, tijela su iz ranijeg razdoblja u 2019. prenijela 465 zahtjeva pa su tako, od ukupno 17.656 zahtjeva u radu, riješila ukupno 15.624 zahtjeva te ustupila nadležnim tijelima na rješavanje još 972, što znači da je </w:t>
      </w:r>
      <w:r w:rsidRPr="002E5315">
        <w:rPr>
          <w:bCs/>
          <w:szCs w:val="23"/>
        </w:rPr>
        <w:t>razina rješavanja</w:t>
      </w:r>
      <w:r w:rsidRPr="002E5315">
        <w:rPr>
          <w:bCs/>
          <w:color w:val="FF0000"/>
          <w:szCs w:val="23"/>
        </w:rPr>
        <w:t xml:space="preserve"> </w:t>
      </w:r>
      <w:r w:rsidRPr="002E5315">
        <w:rPr>
          <w:bCs/>
          <w:szCs w:val="23"/>
        </w:rPr>
        <w:t>od 94%</w:t>
      </w:r>
      <w:r w:rsidRPr="002E5315">
        <w:rPr>
          <w:szCs w:val="23"/>
        </w:rPr>
        <w:t xml:space="preserve"> jednaka ili vrlo slična kao i ranijih godina (2018. 94,6%, 2017. 95% i 2016. 96,4%).</w:t>
      </w:r>
    </w:p>
    <w:p w14:paraId="6C58C0AD" w14:textId="77777777" w:rsidR="00A05CD7" w:rsidRPr="002E5315" w:rsidRDefault="005823CA" w:rsidP="005823CA">
      <w:pPr>
        <w:rPr>
          <w:szCs w:val="23"/>
        </w:rPr>
      </w:pPr>
      <w:r w:rsidRPr="002E5315">
        <w:rPr>
          <w:szCs w:val="23"/>
        </w:rPr>
        <w:t xml:space="preserve">U pogledu pravovremenosti postupanja po zahtjevima za pristup informacijama, </w:t>
      </w:r>
      <w:r w:rsidRPr="002E5315">
        <w:rPr>
          <w:b/>
          <w:szCs w:val="23"/>
        </w:rPr>
        <w:t xml:space="preserve">94% </w:t>
      </w:r>
      <w:r w:rsidRPr="002E5315">
        <w:rPr>
          <w:szCs w:val="23"/>
        </w:rPr>
        <w:t>z</w:t>
      </w:r>
      <w:r w:rsidRPr="002E5315">
        <w:rPr>
          <w:b/>
          <w:szCs w:val="23"/>
        </w:rPr>
        <w:t>ahtjeva riješeno je u roku</w:t>
      </w:r>
      <w:r w:rsidRPr="002E5315">
        <w:rPr>
          <w:szCs w:val="23"/>
        </w:rPr>
        <w:t xml:space="preserve"> (ista razina kao prethodnih godina), dok je 6% zahtjeva riješeno izvan roka.</w:t>
      </w:r>
    </w:p>
    <w:p w14:paraId="39E50E41" w14:textId="4478E0E6" w:rsidR="005823CA" w:rsidRPr="002E5315" w:rsidRDefault="005823CA" w:rsidP="005823CA">
      <w:pPr>
        <w:rPr>
          <w:szCs w:val="23"/>
        </w:rPr>
      </w:pPr>
      <w:r w:rsidRPr="002E5315">
        <w:rPr>
          <w:szCs w:val="23"/>
        </w:rPr>
        <w:t xml:space="preserve">S obzirom na ishod rješavanja zahtjeva, tijela svake godine preko 80% zaprimljenih zahtjeva usvajaju u cijelosti ili djelomično (usvojeno 80,35% i djelomično usvojeno 1,91% zahtjeva). Za </w:t>
      </w:r>
      <w:r w:rsidRPr="002E5315">
        <w:rPr>
          <w:szCs w:val="23"/>
        </w:rPr>
        <w:lastRenderedPageBreak/>
        <w:t>8,32% zahtjeva izdana je obavijest korisniku (1.300 zahtjeva, lani 1.257), 4,21% zahtjeva je odbijeno (smanjenje sa 780 na 658 u odnosu na prošlu godinu), 2,23% odbačeno (smanjenje sa 420 u 2018. na 348), a samo 0,5% obustavljeno na prvom stupnju (prošle godine 0,32%).</w:t>
      </w:r>
    </w:p>
    <w:p w14:paraId="46699746" w14:textId="23609AF2" w:rsidR="007670C3" w:rsidRPr="002E5315" w:rsidRDefault="005823CA" w:rsidP="005823CA">
      <w:pPr>
        <w:rPr>
          <w:strike/>
          <w:szCs w:val="23"/>
        </w:rPr>
      </w:pPr>
      <w:r w:rsidRPr="002E5315">
        <w:rPr>
          <w:szCs w:val="23"/>
        </w:rPr>
        <w:t>Prema razlozima za odbijanje (Tablica 2.2.), najveći broj od 658 zahtjeva odbijen je zbog zlouporabe prava (208 ili 21,7%), zatim zbog ocjene tijela javne vlasti da se tražena informacija ne smatra informacijom (180 ili 18,8%), zbog zaštite osobnih podataka (168 ili 17,5%) te zbog poslovne tajne (121 ili 12,6%). Ostali razlozi utvrđeni zakonom javljaju se u manje od 10% slučajeva</w:t>
      </w:r>
      <w:r w:rsidR="007670C3" w:rsidRPr="002E5315">
        <w:rPr>
          <w:szCs w:val="23"/>
        </w:rPr>
        <w:t>.</w:t>
      </w:r>
    </w:p>
    <w:p w14:paraId="5BDD2C0C" w14:textId="77777777" w:rsidR="007670C3" w:rsidRPr="002E5315" w:rsidRDefault="007670C3" w:rsidP="00A05CD7">
      <w:pPr>
        <w:keepNext/>
        <w:spacing w:before="240"/>
        <w:rPr>
          <w:sz w:val="20"/>
          <w:szCs w:val="20"/>
        </w:rPr>
      </w:pPr>
      <w:r w:rsidRPr="002E5315">
        <w:rPr>
          <w:sz w:val="20"/>
          <w:szCs w:val="20"/>
        </w:rPr>
        <w:t>Tablica 2.2. Zahtjevi za pristup informacijama prema razlozima odbijanja</w:t>
      </w:r>
    </w:p>
    <w:tbl>
      <w:tblPr>
        <w:tblW w:w="0" w:type="auto"/>
        <w:jc w:val="center"/>
        <w:tblBorders>
          <w:top w:val="single" w:sz="8" w:space="0" w:color="4F81BD"/>
          <w:bottom w:val="single" w:sz="8" w:space="0" w:color="4F81BD"/>
        </w:tblBorders>
        <w:tblLayout w:type="fixed"/>
        <w:tblLook w:val="04A0" w:firstRow="1" w:lastRow="0" w:firstColumn="1" w:lastColumn="0" w:noHBand="0" w:noVBand="1"/>
      </w:tblPr>
      <w:tblGrid>
        <w:gridCol w:w="5866"/>
        <w:gridCol w:w="1657"/>
        <w:gridCol w:w="1657"/>
      </w:tblGrid>
      <w:tr w:rsidR="007670C3" w:rsidRPr="002E5315" w14:paraId="5C1E4867" w14:textId="77777777" w:rsidTr="005307B5">
        <w:trPr>
          <w:trHeight w:val="255"/>
          <w:jc w:val="center"/>
        </w:trPr>
        <w:tc>
          <w:tcPr>
            <w:tcW w:w="5866" w:type="dxa"/>
            <w:tcBorders>
              <w:top w:val="single" w:sz="8" w:space="0" w:color="4F81BD"/>
              <w:left w:val="nil"/>
              <w:bottom w:val="single" w:sz="8" w:space="0" w:color="4F81BD"/>
              <w:right w:val="nil"/>
            </w:tcBorders>
            <w:shd w:val="clear" w:color="auto" w:fill="auto"/>
            <w:noWrap/>
            <w:vAlign w:val="center"/>
            <w:hideMark/>
          </w:tcPr>
          <w:p w14:paraId="4EEFBD79" w14:textId="77777777" w:rsidR="007670C3" w:rsidRPr="002E5315" w:rsidRDefault="007670C3" w:rsidP="005307B5">
            <w:pPr>
              <w:rPr>
                <w:b/>
                <w:bCs/>
                <w:sz w:val="20"/>
                <w:szCs w:val="20"/>
              </w:rPr>
            </w:pPr>
            <w:r w:rsidRPr="002E5315">
              <w:rPr>
                <w:b/>
                <w:sz w:val="20"/>
                <w:szCs w:val="20"/>
              </w:rPr>
              <w:t>Razlog odbijanja zahtjeva za pristup informacijama</w:t>
            </w:r>
          </w:p>
        </w:tc>
        <w:tc>
          <w:tcPr>
            <w:tcW w:w="1657" w:type="dxa"/>
            <w:tcBorders>
              <w:top w:val="single" w:sz="8" w:space="0" w:color="4F81BD"/>
              <w:left w:val="nil"/>
              <w:bottom w:val="single" w:sz="8" w:space="0" w:color="4F81BD"/>
              <w:right w:val="nil"/>
            </w:tcBorders>
            <w:shd w:val="clear" w:color="auto" w:fill="auto"/>
            <w:noWrap/>
            <w:vAlign w:val="center"/>
            <w:hideMark/>
          </w:tcPr>
          <w:p w14:paraId="5E44A11F" w14:textId="77777777" w:rsidR="007670C3" w:rsidRPr="002E5315" w:rsidRDefault="007670C3" w:rsidP="005307B5">
            <w:pPr>
              <w:rPr>
                <w:b/>
                <w:bCs/>
                <w:sz w:val="20"/>
                <w:szCs w:val="20"/>
              </w:rPr>
            </w:pPr>
            <w:r w:rsidRPr="002E5315">
              <w:rPr>
                <w:b/>
                <w:sz w:val="20"/>
                <w:szCs w:val="20"/>
              </w:rPr>
              <w:t>Broj</w:t>
            </w:r>
          </w:p>
        </w:tc>
        <w:tc>
          <w:tcPr>
            <w:tcW w:w="1657" w:type="dxa"/>
            <w:tcBorders>
              <w:top w:val="single" w:sz="8" w:space="0" w:color="4F81BD"/>
              <w:left w:val="nil"/>
              <w:bottom w:val="single" w:sz="8" w:space="0" w:color="4F81BD"/>
              <w:right w:val="nil"/>
            </w:tcBorders>
            <w:shd w:val="clear" w:color="auto" w:fill="auto"/>
            <w:noWrap/>
            <w:vAlign w:val="center"/>
            <w:hideMark/>
          </w:tcPr>
          <w:p w14:paraId="09E61E1F" w14:textId="77777777" w:rsidR="007670C3" w:rsidRPr="002E5315" w:rsidRDefault="007670C3" w:rsidP="00A02762">
            <w:pPr>
              <w:rPr>
                <w:b/>
                <w:bCs/>
                <w:sz w:val="20"/>
                <w:szCs w:val="20"/>
              </w:rPr>
            </w:pPr>
            <w:r w:rsidRPr="002E5315">
              <w:rPr>
                <w:b/>
                <w:sz w:val="20"/>
                <w:szCs w:val="20"/>
              </w:rPr>
              <w:t>%</w:t>
            </w:r>
          </w:p>
        </w:tc>
      </w:tr>
      <w:tr w:rsidR="007670C3" w:rsidRPr="002E5315" w14:paraId="45701899"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10CC79A7" w14:textId="77777777" w:rsidR="007670C3" w:rsidRPr="002E5315" w:rsidRDefault="007670C3" w:rsidP="005307B5">
            <w:pPr>
              <w:contextualSpacing/>
              <w:rPr>
                <w:b/>
                <w:bCs/>
                <w:color w:val="000000"/>
                <w:sz w:val="20"/>
                <w:szCs w:val="20"/>
              </w:rPr>
            </w:pPr>
            <w:r w:rsidRPr="002E5315">
              <w:rPr>
                <w:bCs/>
                <w:color w:val="000000"/>
                <w:sz w:val="20"/>
                <w:szCs w:val="20"/>
              </w:rPr>
              <w:t>prethodni i kazneni postupak</w:t>
            </w:r>
          </w:p>
        </w:tc>
        <w:tc>
          <w:tcPr>
            <w:tcW w:w="1657" w:type="dxa"/>
            <w:tcBorders>
              <w:left w:val="nil"/>
              <w:right w:val="nil"/>
            </w:tcBorders>
            <w:shd w:val="clear" w:color="auto" w:fill="D9E2F3" w:themeFill="accent1" w:themeFillTint="33"/>
            <w:noWrap/>
            <w:vAlign w:val="center"/>
            <w:hideMark/>
          </w:tcPr>
          <w:p w14:paraId="0F63B42B" w14:textId="77777777" w:rsidR="007670C3" w:rsidRPr="002E5315" w:rsidRDefault="007670C3" w:rsidP="005307B5">
            <w:pPr>
              <w:rPr>
                <w:rFonts w:cs="Calibri"/>
                <w:color w:val="000000"/>
                <w:sz w:val="20"/>
                <w:szCs w:val="20"/>
              </w:rPr>
            </w:pPr>
            <w:r w:rsidRPr="002E5315">
              <w:rPr>
                <w:rFonts w:cs="Calibri"/>
                <w:color w:val="000000"/>
                <w:sz w:val="20"/>
                <w:szCs w:val="20"/>
              </w:rPr>
              <w:t>47</w:t>
            </w:r>
          </w:p>
        </w:tc>
        <w:tc>
          <w:tcPr>
            <w:tcW w:w="1657" w:type="dxa"/>
            <w:tcBorders>
              <w:left w:val="nil"/>
              <w:right w:val="nil"/>
            </w:tcBorders>
            <w:shd w:val="clear" w:color="auto" w:fill="D9E2F3" w:themeFill="accent1" w:themeFillTint="33"/>
            <w:noWrap/>
            <w:vAlign w:val="center"/>
            <w:hideMark/>
          </w:tcPr>
          <w:p w14:paraId="7F038772" w14:textId="77777777" w:rsidR="007670C3" w:rsidRPr="002E5315" w:rsidRDefault="007670C3" w:rsidP="005307B5">
            <w:pPr>
              <w:rPr>
                <w:rFonts w:cs="Calibri"/>
                <w:color w:val="000000"/>
                <w:sz w:val="20"/>
                <w:szCs w:val="20"/>
              </w:rPr>
            </w:pPr>
            <w:r w:rsidRPr="002E5315">
              <w:rPr>
                <w:rFonts w:cs="Calibri"/>
                <w:color w:val="000000"/>
                <w:sz w:val="20"/>
                <w:szCs w:val="20"/>
              </w:rPr>
              <w:t>4,91%</w:t>
            </w:r>
          </w:p>
        </w:tc>
      </w:tr>
      <w:tr w:rsidR="007670C3" w:rsidRPr="002E5315" w14:paraId="5B8A3D06" w14:textId="77777777" w:rsidTr="005307B5">
        <w:trPr>
          <w:trHeight w:val="255"/>
          <w:jc w:val="center"/>
        </w:trPr>
        <w:tc>
          <w:tcPr>
            <w:tcW w:w="5866" w:type="dxa"/>
            <w:shd w:val="clear" w:color="auto" w:fill="auto"/>
            <w:vAlign w:val="center"/>
            <w:hideMark/>
          </w:tcPr>
          <w:p w14:paraId="786C8CE8" w14:textId="77777777" w:rsidR="007670C3" w:rsidRPr="002E5315" w:rsidRDefault="007670C3" w:rsidP="005307B5">
            <w:pPr>
              <w:contextualSpacing/>
              <w:rPr>
                <w:b/>
                <w:bCs/>
                <w:color w:val="000000"/>
                <w:sz w:val="20"/>
                <w:szCs w:val="20"/>
              </w:rPr>
            </w:pPr>
            <w:r w:rsidRPr="002E5315">
              <w:rPr>
                <w:bCs/>
                <w:color w:val="000000"/>
                <w:sz w:val="20"/>
                <w:szCs w:val="20"/>
              </w:rPr>
              <w:t>klasificirana informacija</w:t>
            </w:r>
          </w:p>
        </w:tc>
        <w:tc>
          <w:tcPr>
            <w:tcW w:w="1657" w:type="dxa"/>
            <w:shd w:val="clear" w:color="auto" w:fill="auto"/>
            <w:noWrap/>
            <w:vAlign w:val="center"/>
            <w:hideMark/>
          </w:tcPr>
          <w:p w14:paraId="77668CA0" w14:textId="77777777" w:rsidR="007670C3" w:rsidRPr="002E5315" w:rsidRDefault="007670C3" w:rsidP="005307B5">
            <w:pPr>
              <w:rPr>
                <w:rFonts w:cs="Calibri"/>
                <w:color w:val="000000"/>
                <w:sz w:val="20"/>
                <w:szCs w:val="20"/>
              </w:rPr>
            </w:pPr>
            <w:r w:rsidRPr="002E5315">
              <w:rPr>
                <w:rFonts w:cs="Calibri"/>
                <w:color w:val="000000"/>
                <w:sz w:val="20"/>
                <w:szCs w:val="20"/>
              </w:rPr>
              <w:t>21</w:t>
            </w:r>
          </w:p>
        </w:tc>
        <w:tc>
          <w:tcPr>
            <w:tcW w:w="1657" w:type="dxa"/>
            <w:shd w:val="clear" w:color="auto" w:fill="auto"/>
            <w:noWrap/>
            <w:vAlign w:val="center"/>
            <w:hideMark/>
          </w:tcPr>
          <w:p w14:paraId="342DC924" w14:textId="77777777" w:rsidR="007670C3" w:rsidRPr="002E5315" w:rsidRDefault="007670C3" w:rsidP="005307B5">
            <w:pPr>
              <w:rPr>
                <w:rFonts w:cs="Calibri"/>
                <w:color w:val="000000"/>
                <w:sz w:val="20"/>
                <w:szCs w:val="20"/>
              </w:rPr>
            </w:pPr>
            <w:r w:rsidRPr="002E5315">
              <w:rPr>
                <w:rFonts w:cs="Calibri"/>
                <w:color w:val="000000"/>
                <w:sz w:val="20"/>
                <w:szCs w:val="20"/>
              </w:rPr>
              <w:t>2,19%</w:t>
            </w:r>
          </w:p>
        </w:tc>
      </w:tr>
      <w:tr w:rsidR="007670C3" w:rsidRPr="002E5315" w14:paraId="169BE89C"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6153EBF0" w14:textId="77777777" w:rsidR="007670C3" w:rsidRPr="002E5315" w:rsidRDefault="007670C3" w:rsidP="005307B5">
            <w:pPr>
              <w:contextualSpacing/>
              <w:rPr>
                <w:b/>
                <w:bCs/>
                <w:color w:val="000000"/>
                <w:sz w:val="20"/>
                <w:szCs w:val="20"/>
              </w:rPr>
            </w:pPr>
            <w:r w:rsidRPr="002E5315">
              <w:rPr>
                <w:bCs/>
                <w:color w:val="000000"/>
                <w:sz w:val="20"/>
                <w:szCs w:val="20"/>
              </w:rPr>
              <w:t xml:space="preserve">poslovna tajna </w:t>
            </w:r>
          </w:p>
        </w:tc>
        <w:tc>
          <w:tcPr>
            <w:tcW w:w="1657" w:type="dxa"/>
            <w:tcBorders>
              <w:left w:val="nil"/>
              <w:right w:val="nil"/>
            </w:tcBorders>
            <w:shd w:val="clear" w:color="auto" w:fill="D9E2F3" w:themeFill="accent1" w:themeFillTint="33"/>
            <w:noWrap/>
            <w:vAlign w:val="center"/>
            <w:hideMark/>
          </w:tcPr>
          <w:p w14:paraId="6B8F5171" w14:textId="77777777" w:rsidR="007670C3" w:rsidRPr="002E5315" w:rsidRDefault="007670C3" w:rsidP="005307B5">
            <w:pPr>
              <w:rPr>
                <w:rFonts w:cs="Calibri"/>
                <w:color w:val="000000"/>
                <w:sz w:val="20"/>
                <w:szCs w:val="20"/>
              </w:rPr>
            </w:pPr>
            <w:r w:rsidRPr="002E5315">
              <w:rPr>
                <w:rFonts w:cs="Calibri"/>
                <w:color w:val="000000"/>
                <w:sz w:val="20"/>
                <w:szCs w:val="20"/>
              </w:rPr>
              <w:t>121</w:t>
            </w:r>
          </w:p>
        </w:tc>
        <w:tc>
          <w:tcPr>
            <w:tcW w:w="1657" w:type="dxa"/>
            <w:tcBorders>
              <w:left w:val="nil"/>
              <w:right w:val="nil"/>
            </w:tcBorders>
            <w:shd w:val="clear" w:color="auto" w:fill="D9E2F3" w:themeFill="accent1" w:themeFillTint="33"/>
            <w:noWrap/>
            <w:vAlign w:val="center"/>
            <w:hideMark/>
          </w:tcPr>
          <w:p w14:paraId="74345488" w14:textId="77777777" w:rsidR="007670C3" w:rsidRPr="002E5315" w:rsidRDefault="007670C3" w:rsidP="005307B5">
            <w:pPr>
              <w:rPr>
                <w:rFonts w:cs="Calibri"/>
                <w:color w:val="000000"/>
                <w:sz w:val="20"/>
                <w:szCs w:val="20"/>
              </w:rPr>
            </w:pPr>
            <w:r w:rsidRPr="002E5315">
              <w:rPr>
                <w:rFonts w:cs="Calibri"/>
                <w:color w:val="000000"/>
                <w:sz w:val="20"/>
                <w:szCs w:val="20"/>
              </w:rPr>
              <w:t>12,63%</w:t>
            </w:r>
          </w:p>
        </w:tc>
      </w:tr>
      <w:tr w:rsidR="007670C3" w:rsidRPr="002E5315" w14:paraId="7CF03DC2" w14:textId="77777777" w:rsidTr="005307B5">
        <w:trPr>
          <w:trHeight w:val="255"/>
          <w:jc w:val="center"/>
        </w:trPr>
        <w:tc>
          <w:tcPr>
            <w:tcW w:w="5866" w:type="dxa"/>
            <w:shd w:val="clear" w:color="auto" w:fill="auto"/>
            <w:vAlign w:val="center"/>
            <w:hideMark/>
          </w:tcPr>
          <w:p w14:paraId="76375E3E" w14:textId="77777777" w:rsidR="007670C3" w:rsidRPr="002E5315" w:rsidRDefault="007670C3" w:rsidP="005307B5">
            <w:pPr>
              <w:contextualSpacing/>
              <w:rPr>
                <w:b/>
                <w:bCs/>
                <w:color w:val="000000"/>
                <w:sz w:val="20"/>
                <w:szCs w:val="20"/>
              </w:rPr>
            </w:pPr>
            <w:r w:rsidRPr="002E5315">
              <w:rPr>
                <w:bCs/>
                <w:color w:val="000000"/>
                <w:sz w:val="20"/>
                <w:szCs w:val="20"/>
              </w:rPr>
              <w:t xml:space="preserve">profesionalna tajna </w:t>
            </w:r>
          </w:p>
        </w:tc>
        <w:tc>
          <w:tcPr>
            <w:tcW w:w="1657" w:type="dxa"/>
            <w:shd w:val="clear" w:color="auto" w:fill="auto"/>
            <w:noWrap/>
            <w:vAlign w:val="center"/>
            <w:hideMark/>
          </w:tcPr>
          <w:p w14:paraId="45276BDB" w14:textId="77777777" w:rsidR="007670C3" w:rsidRPr="002E5315" w:rsidRDefault="007670C3" w:rsidP="005307B5">
            <w:pPr>
              <w:rPr>
                <w:rFonts w:cs="Calibri"/>
                <w:color w:val="000000"/>
                <w:sz w:val="20"/>
                <w:szCs w:val="20"/>
              </w:rPr>
            </w:pPr>
            <w:r w:rsidRPr="002E5315">
              <w:rPr>
                <w:rFonts w:cs="Calibri"/>
                <w:color w:val="000000"/>
                <w:sz w:val="20"/>
                <w:szCs w:val="20"/>
              </w:rPr>
              <w:t>20</w:t>
            </w:r>
          </w:p>
        </w:tc>
        <w:tc>
          <w:tcPr>
            <w:tcW w:w="1657" w:type="dxa"/>
            <w:shd w:val="clear" w:color="auto" w:fill="auto"/>
            <w:noWrap/>
            <w:vAlign w:val="center"/>
            <w:hideMark/>
          </w:tcPr>
          <w:p w14:paraId="146189CD" w14:textId="77777777" w:rsidR="007670C3" w:rsidRPr="002E5315" w:rsidRDefault="007670C3" w:rsidP="005307B5">
            <w:pPr>
              <w:rPr>
                <w:rFonts w:cs="Calibri"/>
                <w:color w:val="000000"/>
                <w:sz w:val="20"/>
                <w:szCs w:val="20"/>
              </w:rPr>
            </w:pPr>
            <w:r w:rsidRPr="002E5315">
              <w:rPr>
                <w:rFonts w:cs="Calibri"/>
                <w:color w:val="000000"/>
                <w:sz w:val="20"/>
                <w:szCs w:val="20"/>
              </w:rPr>
              <w:t>2,09%</w:t>
            </w:r>
          </w:p>
        </w:tc>
      </w:tr>
      <w:tr w:rsidR="007670C3" w:rsidRPr="002E5315" w14:paraId="7FB45012"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277E35D6" w14:textId="77777777" w:rsidR="007670C3" w:rsidRPr="002E5315" w:rsidRDefault="007670C3" w:rsidP="005307B5">
            <w:pPr>
              <w:contextualSpacing/>
              <w:rPr>
                <w:b/>
                <w:bCs/>
                <w:color w:val="000000"/>
                <w:sz w:val="20"/>
                <w:szCs w:val="20"/>
              </w:rPr>
            </w:pPr>
            <w:r w:rsidRPr="002E5315">
              <w:rPr>
                <w:bCs/>
                <w:color w:val="000000"/>
                <w:sz w:val="20"/>
                <w:szCs w:val="20"/>
              </w:rPr>
              <w:t xml:space="preserve">porezna tajna </w:t>
            </w:r>
          </w:p>
        </w:tc>
        <w:tc>
          <w:tcPr>
            <w:tcW w:w="1657" w:type="dxa"/>
            <w:tcBorders>
              <w:left w:val="nil"/>
              <w:right w:val="nil"/>
            </w:tcBorders>
            <w:shd w:val="clear" w:color="auto" w:fill="D9E2F3" w:themeFill="accent1" w:themeFillTint="33"/>
            <w:noWrap/>
            <w:vAlign w:val="center"/>
            <w:hideMark/>
          </w:tcPr>
          <w:p w14:paraId="2FE41E0C" w14:textId="77777777" w:rsidR="007670C3" w:rsidRPr="002E5315" w:rsidRDefault="007670C3" w:rsidP="005307B5">
            <w:pPr>
              <w:rPr>
                <w:rFonts w:cs="Calibri"/>
                <w:color w:val="000000"/>
                <w:sz w:val="20"/>
                <w:szCs w:val="20"/>
              </w:rPr>
            </w:pPr>
            <w:r w:rsidRPr="002E5315">
              <w:rPr>
                <w:rFonts w:cs="Calibri"/>
                <w:color w:val="000000"/>
                <w:sz w:val="20"/>
                <w:szCs w:val="20"/>
              </w:rPr>
              <w:t>4</w:t>
            </w:r>
          </w:p>
        </w:tc>
        <w:tc>
          <w:tcPr>
            <w:tcW w:w="1657" w:type="dxa"/>
            <w:tcBorders>
              <w:left w:val="nil"/>
              <w:right w:val="nil"/>
            </w:tcBorders>
            <w:shd w:val="clear" w:color="auto" w:fill="D9E2F3" w:themeFill="accent1" w:themeFillTint="33"/>
            <w:noWrap/>
            <w:vAlign w:val="center"/>
            <w:hideMark/>
          </w:tcPr>
          <w:p w14:paraId="5D617AE3" w14:textId="77777777" w:rsidR="007670C3" w:rsidRPr="002E5315" w:rsidRDefault="007670C3" w:rsidP="005307B5">
            <w:pPr>
              <w:rPr>
                <w:rFonts w:cs="Calibri"/>
                <w:color w:val="000000"/>
                <w:sz w:val="20"/>
                <w:szCs w:val="20"/>
              </w:rPr>
            </w:pPr>
            <w:r w:rsidRPr="002E5315">
              <w:rPr>
                <w:rFonts w:cs="Calibri"/>
                <w:color w:val="000000"/>
                <w:sz w:val="20"/>
                <w:szCs w:val="20"/>
              </w:rPr>
              <w:t>0,42%</w:t>
            </w:r>
          </w:p>
        </w:tc>
      </w:tr>
      <w:tr w:rsidR="007670C3" w:rsidRPr="002E5315" w14:paraId="3990A89D" w14:textId="77777777" w:rsidTr="005307B5">
        <w:trPr>
          <w:trHeight w:val="255"/>
          <w:jc w:val="center"/>
        </w:trPr>
        <w:tc>
          <w:tcPr>
            <w:tcW w:w="5866" w:type="dxa"/>
            <w:shd w:val="clear" w:color="auto" w:fill="auto"/>
            <w:vAlign w:val="center"/>
            <w:hideMark/>
          </w:tcPr>
          <w:p w14:paraId="4370BB2C" w14:textId="77777777" w:rsidR="007670C3" w:rsidRPr="002E5315" w:rsidRDefault="007670C3" w:rsidP="005307B5">
            <w:pPr>
              <w:contextualSpacing/>
              <w:rPr>
                <w:b/>
                <w:bCs/>
                <w:color w:val="000000"/>
                <w:sz w:val="20"/>
                <w:szCs w:val="20"/>
              </w:rPr>
            </w:pPr>
            <w:r w:rsidRPr="002E5315">
              <w:rPr>
                <w:bCs/>
                <w:color w:val="000000"/>
                <w:sz w:val="20"/>
                <w:szCs w:val="20"/>
              </w:rPr>
              <w:t>osobni podaci</w:t>
            </w:r>
          </w:p>
        </w:tc>
        <w:tc>
          <w:tcPr>
            <w:tcW w:w="1657" w:type="dxa"/>
            <w:shd w:val="clear" w:color="auto" w:fill="auto"/>
            <w:noWrap/>
            <w:vAlign w:val="center"/>
            <w:hideMark/>
          </w:tcPr>
          <w:p w14:paraId="56C971E8" w14:textId="77777777" w:rsidR="007670C3" w:rsidRPr="002E5315" w:rsidRDefault="007670C3" w:rsidP="005307B5">
            <w:pPr>
              <w:rPr>
                <w:rFonts w:cs="Calibri"/>
                <w:color w:val="000000"/>
                <w:sz w:val="20"/>
                <w:szCs w:val="20"/>
              </w:rPr>
            </w:pPr>
            <w:r w:rsidRPr="002E5315">
              <w:rPr>
                <w:rFonts w:cs="Calibri"/>
                <w:color w:val="000000"/>
                <w:sz w:val="20"/>
                <w:szCs w:val="20"/>
              </w:rPr>
              <w:t>168</w:t>
            </w:r>
          </w:p>
        </w:tc>
        <w:tc>
          <w:tcPr>
            <w:tcW w:w="1657" w:type="dxa"/>
            <w:shd w:val="clear" w:color="auto" w:fill="auto"/>
            <w:noWrap/>
            <w:vAlign w:val="center"/>
            <w:hideMark/>
          </w:tcPr>
          <w:p w14:paraId="0923B2D7" w14:textId="77777777" w:rsidR="007670C3" w:rsidRPr="002E5315" w:rsidRDefault="007670C3" w:rsidP="005307B5">
            <w:pPr>
              <w:rPr>
                <w:rFonts w:cs="Calibri"/>
                <w:color w:val="000000"/>
                <w:sz w:val="20"/>
                <w:szCs w:val="20"/>
              </w:rPr>
            </w:pPr>
            <w:r w:rsidRPr="002E5315">
              <w:rPr>
                <w:rFonts w:cs="Calibri"/>
                <w:color w:val="000000"/>
                <w:sz w:val="20"/>
                <w:szCs w:val="20"/>
              </w:rPr>
              <w:t>17,54%</w:t>
            </w:r>
          </w:p>
        </w:tc>
      </w:tr>
      <w:tr w:rsidR="007670C3" w:rsidRPr="002E5315" w14:paraId="5445EFF0"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7DA165F3" w14:textId="77777777" w:rsidR="007670C3" w:rsidRPr="002E5315" w:rsidRDefault="007670C3" w:rsidP="005307B5">
            <w:pPr>
              <w:contextualSpacing/>
              <w:rPr>
                <w:b/>
                <w:bCs/>
                <w:color w:val="000000"/>
                <w:sz w:val="20"/>
                <w:szCs w:val="20"/>
              </w:rPr>
            </w:pPr>
            <w:r w:rsidRPr="002E5315">
              <w:rPr>
                <w:bCs/>
                <w:color w:val="000000"/>
                <w:sz w:val="20"/>
                <w:szCs w:val="20"/>
              </w:rPr>
              <w:t>pravo intelektualnog vlasništva</w:t>
            </w:r>
          </w:p>
        </w:tc>
        <w:tc>
          <w:tcPr>
            <w:tcW w:w="1657" w:type="dxa"/>
            <w:tcBorders>
              <w:left w:val="nil"/>
              <w:right w:val="nil"/>
            </w:tcBorders>
            <w:shd w:val="clear" w:color="auto" w:fill="D9E2F3" w:themeFill="accent1" w:themeFillTint="33"/>
            <w:noWrap/>
            <w:vAlign w:val="center"/>
            <w:hideMark/>
          </w:tcPr>
          <w:p w14:paraId="33D11017" w14:textId="77777777" w:rsidR="007670C3" w:rsidRPr="002E5315" w:rsidRDefault="007670C3" w:rsidP="005307B5">
            <w:pPr>
              <w:rPr>
                <w:rFonts w:cs="Calibri"/>
                <w:color w:val="000000"/>
                <w:sz w:val="20"/>
                <w:szCs w:val="20"/>
              </w:rPr>
            </w:pPr>
            <w:r w:rsidRPr="002E5315">
              <w:rPr>
                <w:rFonts w:cs="Calibri"/>
                <w:color w:val="000000"/>
                <w:sz w:val="20"/>
                <w:szCs w:val="20"/>
              </w:rPr>
              <w:t>8</w:t>
            </w:r>
          </w:p>
        </w:tc>
        <w:tc>
          <w:tcPr>
            <w:tcW w:w="1657" w:type="dxa"/>
            <w:tcBorders>
              <w:left w:val="nil"/>
              <w:right w:val="nil"/>
            </w:tcBorders>
            <w:shd w:val="clear" w:color="auto" w:fill="D9E2F3" w:themeFill="accent1" w:themeFillTint="33"/>
            <w:noWrap/>
            <w:vAlign w:val="center"/>
            <w:hideMark/>
          </w:tcPr>
          <w:p w14:paraId="76632316" w14:textId="77777777" w:rsidR="007670C3" w:rsidRPr="002E5315" w:rsidRDefault="007670C3" w:rsidP="005307B5">
            <w:pPr>
              <w:rPr>
                <w:rFonts w:cs="Calibri"/>
                <w:color w:val="000000"/>
                <w:sz w:val="20"/>
                <w:szCs w:val="20"/>
              </w:rPr>
            </w:pPr>
            <w:r w:rsidRPr="002E5315">
              <w:rPr>
                <w:rFonts w:cs="Calibri"/>
                <w:color w:val="000000"/>
                <w:sz w:val="20"/>
                <w:szCs w:val="20"/>
              </w:rPr>
              <w:t>0,84%</w:t>
            </w:r>
          </w:p>
        </w:tc>
      </w:tr>
      <w:tr w:rsidR="007670C3" w:rsidRPr="002E5315" w14:paraId="27267318" w14:textId="77777777" w:rsidTr="005307B5">
        <w:trPr>
          <w:trHeight w:val="255"/>
          <w:jc w:val="center"/>
        </w:trPr>
        <w:tc>
          <w:tcPr>
            <w:tcW w:w="5866" w:type="dxa"/>
            <w:shd w:val="clear" w:color="auto" w:fill="auto"/>
            <w:vAlign w:val="center"/>
            <w:hideMark/>
          </w:tcPr>
          <w:p w14:paraId="1A12A83A" w14:textId="77777777" w:rsidR="007670C3" w:rsidRPr="002E5315" w:rsidRDefault="007670C3" w:rsidP="005307B5">
            <w:pPr>
              <w:contextualSpacing/>
              <w:rPr>
                <w:b/>
                <w:bCs/>
                <w:color w:val="000000"/>
                <w:sz w:val="20"/>
                <w:szCs w:val="20"/>
              </w:rPr>
            </w:pPr>
            <w:r w:rsidRPr="002E5315">
              <w:rPr>
                <w:bCs/>
                <w:color w:val="000000"/>
                <w:sz w:val="20"/>
                <w:szCs w:val="20"/>
              </w:rPr>
              <w:t xml:space="preserve">međunarodni ugovori, pregovori, diplomatski odnosi </w:t>
            </w:r>
          </w:p>
        </w:tc>
        <w:tc>
          <w:tcPr>
            <w:tcW w:w="1657" w:type="dxa"/>
            <w:shd w:val="clear" w:color="auto" w:fill="auto"/>
            <w:noWrap/>
            <w:vAlign w:val="center"/>
            <w:hideMark/>
          </w:tcPr>
          <w:p w14:paraId="58CC6AF9" w14:textId="77777777" w:rsidR="007670C3" w:rsidRPr="002E5315" w:rsidRDefault="007670C3" w:rsidP="005307B5">
            <w:pPr>
              <w:rPr>
                <w:rFonts w:cs="Calibri"/>
                <w:color w:val="000000"/>
                <w:sz w:val="20"/>
                <w:szCs w:val="20"/>
              </w:rPr>
            </w:pPr>
            <w:r w:rsidRPr="002E5315">
              <w:rPr>
                <w:rFonts w:cs="Calibri"/>
                <w:color w:val="000000"/>
                <w:sz w:val="20"/>
                <w:szCs w:val="20"/>
              </w:rPr>
              <w:t>2</w:t>
            </w:r>
          </w:p>
        </w:tc>
        <w:tc>
          <w:tcPr>
            <w:tcW w:w="1657" w:type="dxa"/>
            <w:shd w:val="clear" w:color="auto" w:fill="auto"/>
            <w:noWrap/>
            <w:vAlign w:val="center"/>
            <w:hideMark/>
          </w:tcPr>
          <w:p w14:paraId="3530AB3F" w14:textId="77777777" w:rsidR="007670C3" w:rsidRPr="002E5315" w:rsidRDefault="007670C3" w:rsidP="005307B5">
            <w:pPr>
              <w:rPr>
                <w:rFonts w:cs="Calibri"/>
                <w:color w:val="000000"/>
                <w:sz w:val="20"/>
                <w:szCs w:val="20"/>
              </w:rPr>
            </w:pPr>
            <w:r w:rsidRPr="002E5315">
              <w:rPr>
                <w:rFonts w:cs="Calibri"/>
                <w:color w:val="000000"/>
                <w:sz w:val="20"/>
                <w:szCs w:val="20"/>
              </w:rPr>
              <w:t>0,21%</w:t>
            </w:r>
          </w:p>
        </w:tc>
      </w:tr>
      <w:tr w:rsidR="007670C3" w:rsidRPr="002E5315" w14:paraId="4C039EAC"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091A2615" w14:textId="77777777" w:rsidR="007670C3" w:rsidRPr="002E5315" w:rsidRDefault="007670C3" w:rsidP="005307B5">
            <w:pPr>
              <w:contextualSpacing/>
              <w:rPr>
                <w:b/>
                <w:bCs/>
                <w:color w:val="000000"/>
                <w:sz w:val="20"/>
                <w:szCs w:val="20"/>
              </w:rPr>
            </w:pPr>
            <w:r w:rsidRPr="002E5315">
              <w:rPr>
                <w:bCs/>
                <w:color w:val="000000"/>
                <w:sz w:val="20"/>
                <w:szCs w:val="20"/>
              </w:rPr>
              <w:t xml:space="preserve">ostali slučajevi utvrđenim zakonom </w:t>
            </w:r>
          </w:p>
        </w:tc>
        <w:tc>
          <w:tcPr>
            <w:tcW w:w="1657" w:type="dxa"/>
            <w:tcBorders>
              <w:left w:val="nil"/>
              <w:right w:val="nil"/>
            </w:tcBorders>
            <w:shd w:val="clear" w:color="auto" w:fill="D9E2F3" w:themeFill="accent1" w:themeFillTint="33"/>
            <w:noWrap/>
            <w:vAlign w:val="center"/>
            <w:hideMark/>
          </w:tcPr>
          <w:p w14:paraId="4B33963F" w14:textId="77777777" w:rsidR="007670C3" w:rsidRPr="002E5315" w:rsidRDefault="007670C3" w:rsidP="005307B5">
            <w:pPr>
              <w:rPr>
                <w:rFonts w:cs="Calibri"/>
                <w:color w:val="000000"/>
                <w:sz w:val="20"/>
                <w:szCs w:val="20"/>
              </w:rPr>
            </w:pPr>
            <w:r w:rsidRPr="002E5315">
              <w:rPr>
                <w:rFonts w:cs="Calibri"/>
                <w:color w:val="000000"/>
                <w:sz w:val="20"/>
                <w:szCs w:val="20"/>
              </w:rPr>
              <w:t>94</w:t>
            </w:r>
          </w:p>
        </w:tc>
        <w:tc>
          <w:tcPr>
            <w:tcW w:w="1657" w:type="dxa"/>
            <w:tcBorders>
              <w:left w:val="nil"/>
              <w:right w:val="nil"/>
            </w:tcBorders>
            <w:shd w:val="clear" w:color="auto" w:fill="D9E2F3" w:themeFill="accent1" w:themeFillTint="33"/>
            <w:noWrap/>
            <w:vAlign w:val="center"/>
            <w:hideMark/>
          </w:tcPr>
          <w:p w14:paraId="1517C595" w14:textId="77777777" w:rsidR="007670C3" w:rsidRPr="002E5315" w:rsidRDefault="007670C3" w:rsidP="005307B5">
            <w:pPr>
              <w:rPr>
                <w:rFonts w:cs="Calibri"/>
                <w:color w:val="000000"/>
                <w:sz w:val="20"/>
                <w:szCs w:val="20"/>
              </w:rPr>
            </w:pPr>
            <w:r w:rsidRPr="002E5315">
              <w:rPr>
                <w:rFonts w:cs="Calibri"/>
                <w:color w:val="000000"/>
                <w:sz w:val="20"/>
                <w:szCs w:val="20"/>
              </w:rPr>
              <w:t>9,81%</w:t>
            </w:r>
          </w:p>
        </w:tc>
      </w:tr>
      <w:tr w:rsidR="007670C3" w:rsidRPr="002E5315" w14:paraId="236E6735" w14:textId="77777777" w:rsidTr="005307B5">
        <w:trPr>
          <w:trHeight w:val="255"/>
          <w:jc w:val="center"/>
        </w:trPr>
        <w:tc>
          <w:tcPr>
            <w:tcW w:w="5866" w:type="dxa"/>
            <w:shd w:val="clear" w:color="auto" w:fill="auto"/>
            <w:vAlign w:val="center"/>
            <w:hideMark/>
          </w:tcPr>
          <w:p w14:paraId="41EB1981" w14:textId="77777777" w:rsidR="007670C3" w:rsidRPr="002E5315" w:rsidRDefault="007670C3" w:rsidP="005307B5">
            <w:pPr>
              <w:contextualSpacing/>
              <w:rPr>
                <w:b/>
                <w:bCs/>
                <w:color w:val="000000"/>
                <w:sz w:val="20"/>
                <w:szCs w:val="20"/>
              </w:rPr>
            </w:pPr>
            <w:r w:rsidRPr="002E5315">
              <w:rPr>
                <w:bCs/>
                <w:color w:val="000000"/>
                <w:sz w:val="20"/>
                <w:szCs w:val="20"/>
              </w:rPr>
              <w:t>vodi se sudski, upravni ili drugi postupak</w:t>
            </w:r>
          </w:p>
        </w:tc>
        <w:tc>
          <w:tcPr>
            <w:tcW w:w="1657" w:type="dxa"/>
            <w:shd w:val="clear" w:color="auto" w:fill="auto"/>
            <w:noWrap/>
            <w:vAlign w:val="center"/>
            <w:hideMark/>
          </w:tcPr>
          <w:p w14:paraId="733E4EB7" w14:textId="77777777" w:rsidR="007670C3" w:rsidRPr="002E5315" w:rsidRDefault="007670C3" w:rsidP="005307B5">
            <w:pPr>
              <w:rPr>
                <w:rFonts w:cs="Calibri"/>
                <w:color w:val="000000"/>
                <w:sz w:val="20"/>
                <w:szCs w:val="20"/>
              </w:rPr>
            </w:pPr>
            <w:r w:rsidRPr="002E5315">
              <w:rPr>
                <w:rFonts w:cs="Calibri"/>
                <w:color w:val="000000"/>
                <w:sz w:val="20"/>
                <w:szCs w:val="20"/>
              </w:rPr>
              <w:t>32</w:t>
            </w:r>
          </w:p>
        </w:tc>
        <w:tc>
          <w:tcPr>
            <w:tcW w:w="1657" w:type="dxa"/>
            <w:shd w:val="clear" w:color="auto" w:fill="auto"/>
            <w:noWrap/>
            <w:vAlign w:val="center"/>
            <w:hideMark/>
          </w:tcPr>
          <w:p w14:paraId="385EAF0D" w14:textId="77777777" w:rsidR="007670C3" w:rsidRPr="002E5315" w:rsidRDefault="007670C3" w:rsidP="005307B5">
            <w:pPr>
              <w:rPr>
                <w:rFonts w:cs="Calibri"/>
                <w:color w:val="000000"/>
                <w:sz w:val="20"/>
                <w:szCs w:val="20"/>
              </w:rPr>
            </w:pPr>
            <w:r w:rsidRPr="002E5315">
              <w:rPr>
                <w:rFonts w:cs="Calibri"/>
                <w:color w:val="000000"/>
                <w:sz w:val="20"/>
                <w:szCs w:val="20"/>
              </w:rPr>
              <w:t>3,34%</w:t>
            </w:r>
          </w:p>
        </w:tc>
      </w:tr>
      <w:tr w:rsidR="007670C3" w:rsidRPr="002E5315" w14:paraId="53F912E6"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5D7A1BCB" w14:textId="77777777" w:rsidR="007670C3" w:rsidRPr="002E5315" w:rsidRDefault="007670C3" w:rsidP="005307B5">
            <w:pPr>
              <w:contextualSpacing/>
              <w:rPr>
                <w:b/>
                <w:bCs/>
                <w:color w:val="000000"/>
                <w:sz w:val="20"/>
                <w:szCs w:val="20"/>
              </w:rPr>
            </w:pPr>
            <w:r w:rsidRPr="002E5315">
              <w:rPr>
                <w:bCs/>
                <w:color w:val="000000"/>
                <w:sz w:val="20"/>
                <w:szCs w:val="20"/>
              </w:rPr>
              <w:t>provodi se inspekcijski, upravni ili drugi nadzor</w:t>
            </w:r>
          </w:p>
        </w:tc>
        <w:tc>
          <w:tcPr>
            <w:tcW w:w="1657" w:type="dxa"/>
            <w:tcBorders>
              <w:left w:val="nil"/>
              <w:right w:val="nil"/>
            </w:tcBorders>
            <w:shd w:val="clear" w:color="auto" w:fill="D9E2F3" w:themeFill="accent1" w:themeFillTint="33"/>
            <w:noWrap/>
            <w:vAlign w:val="center"/>
            <w:hideMark/>
          </w:tcPr>
          <w:p w14:paraId="308915C9" w14:textId="77777777" w:rsidR="007670C3" w:rsidRPr="002E5315" w:rsidRDefault="007670C3" w:rsidP="005307B5">
            <w:pPr>
              <w:rPr>
                <w:rFonts w:cs="Calibri"/>
                <w:color w:val="000000"/>
                <w:sz w:val="20"/>
                <w:szCs w:val="20"/>
              </w:rPr>
            </w:pPr>
            <w:r w:rsidRPr="002E5315">
              <w:rPr>
                <w:rFonts w:cs="Calibri"/>
                <w:color w:val="000000"/>
                <w:sz w:val="20"/>
                <w:szCs w:val="20"/>
              </w:rPr>
              <w:t>4</w:t>
            </w:r>
          </w:p>
        </w:tc>
        <w:tc>
          <w:tcPr>
            <w:tcW w:w="1657" w:type="dxa"/>
            <w:tcBorders>
              <w:left w:val="nil"/>
              <w:right w:val="nil"/>
            </w:tcBorders>
            <w:shd w:val="clear" w:color="auto" w:fill="D9E2F3" w:themeFill="accent1" w:themeFillTint="33"/>
            <w:noWrap/>
            <w:vAlign w:val="center"/>
            <w:hideMark/>
          </w:tcPr>
          <w:p w14:paraId="16158E19" w14:textId="77777777" w:rsidR="007670C3" w:rsidRPr="002E5315" w:rsidRDefault="007670C3" w:rsidP="005307B5">
            <w:pPr>
              <w:rPr>
                <w:rFonts w:cs="Calibri"/>
                <w:color w:val="000000"/>
                <w:sz w:val="20"/>
                <w:szCs w:val="20"/>
              </w:rPr>
            </w:pPr>
            <w:r w:rsidRPr="002E5315">
              <w:rPr>
                <w:rFonts w:cs="Calibri"/>
                <w:color w:val="000000"/>
                <w:sz w:val="20"/>
                <w:szCs w:val="20"/>
              </w:rPr>
              <w:t>0,42%</w:t>
            </w:r>
          </w:p>
        </w:tc>
      </w:tr>
      <w:tr w:rsidR="007670C3" w:rsidRPr="002E5315" w14:paraId="3529ED5E" w14:textId="77777777" w:rsidTr="005307B5">
        <w:trPr>
          <w:trHeight w:val="255"/>
          <w:jc w:val="center"/>
        </w:trPr>
        <w:tc>
          <w:tcPr>
            <w:tcW w:w="5866" w:type="dxa"/>
            <w:shd w:val="clear" w:color="auto" w:fill="auto"/>
            <w:vAlign w:val="center"/>
          </w:tcPr>
          <w:p w14:paraId="1556D5C7" w14:textId="77777777" w:rsidR="007670C3" w:rsidRPr="002E5315" w:rsidRDefault="007670C3" w:rsidP="005307B5">
            <w:pPr>
              <w:contextualSpacing/>
              <w:rPr>
                <w:b/>
                <w:bCs/>
                <w:color w:val="000000"/>
                <w:sz w:val="20"/>
                <w:szCs w:val="20"/>
              </w:rPr>
            </w:pPr>
            <w:r w:rsidRPr="002E5315">
              <w:rPr>
                <w:bCs/>
                <w:color w:val="000000"/>
                <w:sz w:val="20"/>
                <w:szCs w:val="20"/>
              </w:rPr>
              <w:t>informacija u postupku izrade</w:t>
            </w:r>
          </w:p>
        </w:tc>
        <w:tc>
          <w:tcPr>
            <w:tcW w:w="1657" w:type="dxa"/>
            <w:shd w:val="clear" w:color="auto" w:fill="auto"/>
            <w:noWrap/>
            <w:vAlign w:val="center"/>
            <w:hideMark/>
          </w:tcPr>
          <w:p w14:paraId="3F53ED10" w14:textId="77777777" w:rsidR="007670C3" w:rsidRPr="002E5315" w:rsidRDefault="007670C3" w:rsidP="005307B5">
            <w:pPr>
              <w:rPr>
                <w:rFonts w:cs="Calibri"/>
                <w:color w:val="000000"/>
                <w:sz w:val="20"/>
                <w:szCs w:val="20"/>
              </w:rPr>
            </w:pPr>
            <w:r w:rsidRPr="002E5315">
              <w:rPr>
                <w:rFonts w:cs="Calibri"/>
                <w:color w:val="000000"/>
                <w:sz w:val="20"/>
                <w:szCs w:val="20"/>
              </w:rPr>
              <w:t>16</w:t>
            </w:r>
          </w:p>
        </w:tc>
        <w:tc>
          <w:tcPr>
            <w:tcW w:w="1657" w:type="dxa"/>
            <w:shd w:val="clear" w:color="auto" w:fill="auto"/>
            <w:noWrap/>
            <w:vAlign w:val="center"/>
            <w:hideMark/>
          </w:tcPr>
          <w:p w14:paraId="11BA5A61" w14:textId="77777777" w:rsidR="007670C3" w:rsidRPr="002E5315" w:rsidRDefault="007670C3" w:rsidP="005307B5">
            <w:pPr>
              <w:rPr>
                <w:rFonts w:cs="Calibri"/>
                <w:color w:val="000000"/>
                <w:sz w:val="20"/>
                <w:szCs w:val="20"/>
              </w:rPr>
            </w:pPr>
            <w:r w:rsidRPr="002E5315">
              <w:rPr>
                <w:rFonts w:cs="Calibri"/>
                <w:color w:val="000000"/>
                <w:sz w:val="20"/>
                <w:szCs w:val="20"/>
              </w:rPr>
              <w:t>1,67%</w:t>
            </w:r>
          </w:p>
        </w:tc>
      </w:tr>
      <w:tr w:rsidR="007670C3" w:rsidRPr="002E5315" w14:paraId="49ACAE9C" w14:textId="77777777" w:rsidTr="00756407">
        <w:trPr>
          <w:trHeight w:val="255"/>
          <w:jc w:val="center"/>
        </w:trPr>
        <w:tc>
          <w:tcPr>
            <w:tcW w:w="5866" w:type="dxa"/>
            <w:tcBorders>
              <w:left w:val="nil"/>
              <w:right w:val="nil"/>
            </w:tcBorders>
            <w:shd w:val="clear" w:color="auto" w:fill="D9E2F3" w:themeFill="accent1" w:themeFillTint="33"/>
            <w:vAlign w:val="center"/>
            <w:hideMark/>
          </w:tcPr>
          <w:p w14:paraId="2483F67B" w14:textId="77777777" w:rsidR="007670C3" w:rsidRPr="002E5315" w:rsidRDefault="007670C3" w:rsidP="005307B5">
            <w:pPr>
              <w:contextualSpacing/>
              <w:rPr>
                <w:b/>
                <w:bCs/>
                <w:color w:val="000000"/>
                <w:sz w:val="20"/>
                <w:szCs w:val="20"/>
              </w:rPr>
            </w:pPr>
            <w:r w:rsidRPr="002E5315">
              <w:rPr>
                <w:bCs/>
                <w:color w:val="000000"/>
                <w:sz w:val="20"/>
                <w:szCs w:val="20"/>
              </w:rPr>
              <w:t xml:space="preserve">informacija u postupku usuglašavanja </w:t>
            </w:r>
          </w:p>
        </w:tc>
        <w:tc>
          <w:tcPr>
            <w:tcW w:w="1657" w:type="dxa"/>
            <w:tcBorders>
              <w:left w:val="nil"/>
              <w:right w:val="nil"/>
            </w:tcBorders>
            <w:shd w:val="clear" w:color="auto" w:fill="D9E2F3" w:themeFill="accent1" w:themeFillTint="33"/>
            <w:noWrap/>
            <w:vAlign w:val="center"/>
            <w:hideMark/>
          </w:tcPr>
          <w:p w14:paraId="7593A386" w14:textId="77777777" w:rsidR="007670C3" w:rsidRPr="002E5315" w:rsidRDefault="007670C3" w:rsidP="005307B5">
            <w:pPr>
              <w:rPr>
                <w:rFonts w:cs="Calibri"/>
                <w:color w:val="000000"/>
                <w:sz w:val="20"/>
                <w:szCs w:val="20"/>
              </w:rPr>
            </w:pPr>
            <w:r w:rsidRPr="002E5315">
              <w:rPr>
                <w:rFonts w:cs="Calibri"/>
                <w:color w:val="000000"/>
                <w:sz w:val="20"/>
                <w:szCs w:val="20"/>
              </w:rPr>
              <w:t>10</w:t>
            </w:r>
          </w:p>
        </w:tc>
        <w:tc>
          <w:tcPr>
            <w:tcW w:w="1657" w:type="dxa"/>
            <w:tcBorders>
              <w:left w:val="nil"/>
              <w:right w:val="nil"/>
            </w:tcBorders>
            <w:shd w:val="clear" w:color="auto" w:fill="D9E2F3" w:themeFill="accent1" w:themeFillTint="33"/>
            <w:noWrap/>
            <w:vAlign w:val="center"/>
            <w:hideMark/>
          </w:tcPr>
          <w:p w14:paraId="3BF53986" w14:textId="77777777" w:rsidR="007670C3" w:rsidRPr="002E5315" w:rsidRDefault="007670C3" w:rsidP="005307B5">
            <w:pPr>
              <w:rPr>
                <w:rFonts w:cs="Calibri"/>
                <w:color w:val="000000"/>
                <w:sz w:val="20"/>
                <w:szCs w:val="20"/>
              </w:rPr>
            </w:pPr>
            <w:r w:rsidRPr="002E5315">
              <w:rPr>
                <w:rFonts w:cs="Calibri"/>
                <w:color w:val="000000"/>
                <w:sz w:val="20"/>
                <w:szCs w:val="20"/>
              </w:rPr>
              <w:t>1,04%</w:t>
            </w:r>
          </w:p>
        </w:tc>
      </w:tr>
      <w:tr w:rsidR="007670C3" w:rsidRPr="002E5315" w14:paraId="3C2CDF6E" w14:textId="77777777" w:rsidTr="005307B5">
        <w:trPr>
          <w:trHeight w:val="255"/>
          <w:jc w:val="center"/>
        </w:trPr>
        <w:tc>
          <w:tcPr>
            <w:tcW w:w="5866" w:type="dxa"/>
            <w:shd w:val="clear" w:color="auto" w:fill="auto"/>
            <w:vAlign w:val="center"/>
            <w:hideMark/>
          </w:tcPr>
          <w:p w14:paraId="00B363DA" w14:textId="77777777" w:rsidR="007670C3" w:rsidRPr="002E5315" w:rsidRDefault="007670C3" w:rsidP="005307B5">
            <w:pPr>
              <w:contextualSpacing/>
              <w:rPr>
                <w:b/>
                <w:bCs/>
                <w:color w:val="000000"/>
                <w:sz w:val="20"/>
                <w:szCs w:val="20"/>
              </w:rPr>
            </w:pPr>
            <w:r w:rsidRPr="002E5315">
              <w:rPr>
                <w:bCs/>
                <w:color w:val="000000"/>
                <w:sz w:val="20"/>
                <w:szCs w:val="20"/>
              </w:rPr>
              <w:t xml:space="preserve">zlouporaba prava na pristup informacijama </w:t>
            </w:r>
          </w:p>
        </w:tc>
        <w:tc>
          <w:tcPr>
            <w:tcW w:w="1657" w:type="dxa"/>
            <w:shd w:val="clear" w:color="auto" w:fill="auto"/>
            <w:noWrap/>
            <w:vAlign w:val="center"/>
            <w:hideMark/>
          </w:tcPr>
          <w:p w14:paraId="7D0A591D" w14:textId="77777777" w:rsidR="007670C3" w:rsidRPr="002E5315" w:rsidRDefault="007670C3" w:rsidP="005307B5">
            <w:pPr>
              <w:rPr>
                <w:rFonts w:cs="Calibri"/>
                <w:color w:val="000000"/>
                <w:sz w:val="20"/>
                <w:szCs w:val="20"/>
              </w:rPr>
            </w:pPr>
            <w:r w:rsidRPr="002E5315">
              <w:rPr>
                <w:rFonts w:cs="Calibri"/>
                <w:color w:val="000000"/>
                <w:sz w:val="20"/>
                <w:szCs w:val="20"/>
              </w:rPr>
              <w:t>208</w:t>
            </w:r>
          </w:p>
        </w:tc>
        <w:tc>
          <w:tcPr>
            <w:tcW w:w="1657" w:type="dxa"/>
            <w:shd w:val="clear" w:color="auto" w:fill="auto"/>
            <w:noWrap/>
            <w:vAlign w:val="center"/>
            <w:hideMark/>
          </w:tcPr>
          <w:p w14:paraId="1109B336" w14:textId="77777777" w:rsidR="007670C3" w:rsidRPr="002E5315" w:rsidRDefault="007670C3" w:rsidP="005307B5">
            <w:pPr>
              <w:rPr>
                <w:rFonts w:cs="Calibri"/>
                <w:color w:val="000000"/>
                <w:sz w:val="20"/>
                <w:szCs w:val="20"/>
              </w:rPr>
            </w:pPr>
            <w:r w:rsidRPr="002E5315">
              <w:rPr>
                <w:rFonts w:cs="Calibri"/>
                <w:color w:val="000000"/>
                <w:sz w:val="20"/>
                <w:szCs w:val="20"/>
              </w:rPr>
              <w:t>21,71%</w:t>
            </w:r>
          </w:p>
        </w:tc>
      </w:tr>
      <w:tr w:rsidR="007670C3" w:rsidRPr="002E5315" w14:paraId="74493BF8" w14:textId="77777777" w:rsidTr="005307B5">
        <w:trPr>
          <w:trHeight w:val="255"/>
          <w:jc w:val="center"/>
        </w:trPr>
        <w:tc>
          <w:tcPr>
            <w:tcW w:w="5866" w:type="dxa"/>
            <w:tcBorders>
              <w:left w:val="nil"/>
              <w:right w:val="nil"/>
            </w:tcBorders>
            <w:shd w:val="clear" w:color="auto" w:fill="D3DFEE"/>
            <w:vAlign w:val="center"/>
            <w:hideMark/>
          </w:tcPr>
          <w:p w14:paraId="20845D5F" w14:textId="77777777" w:rsidR="007670C3" w:rsidRPr="002E5315" w:rsidRDefault="007670C3" w:rsidP="005307B5">
            <w:pPr>
              <w:contextualSpacing/>
              <w:rPr>
                <w:b/>
                <w:bCs/>
                <w:color w:val="000000"/>
                <w:sz w:val="20"/>
                <w:szCs w:val="20"/>
              </w:rPr>
            </w:pPr>
            <w:r w:rsidRPr="002E5315">
              <w:rPr>
                <w:bCs/>
                <w:color w:val="000000"/>
                <w:sz w:val="20"/>
                <w:szCs w:val="20"/>
              </w:rPr>
              <w:t xml:space="preserve">nije bilo osnove za dopunu ili ispravak dane informacije iz čl. 24. ZPPI </w:t>
            </w:r>
          </w:p>
        </w:tc>
        <w:tc>
          <w:tcPr>
            <w:tcW w:w="1657" w:type="dxa"/>
            <w:tcBorders>
              <w:left w:val="nil"/>
              <w:right w:val="nil"/>
            </w:tcBorders>
            <w:shd w:val="clear" w:color="auto" w:fill="D3DFEE"/>
            <w:noWrap/>
            <w:vAlign w:val="center"/>
            <w:hideMark/>
          </w:tcPr>
          <w:p w14:paraId="10FEDA42" w14:textId="77777777" w:rsidR="007670C3" w:rsidRPr="002E5315" w:rsidRDefault="007670C3" w:rsidP="005307B5">
            <w:pPr>
              <w:rPr>
                <w:rFonts w:cs="Calibri"/>
                <w:color w:val="000000"/>
                <w:sz w:val="20"/>
                <w:szCs w:val="20"/>
              </w:rPr>
            </w:pPr>
            <w:r w:rsidRPr="002E5315">
              <w:rPr>
                <w:rFonts w:cs="Calibri"/>
                <w:color w:val="000000"/>
                <w:sz w:val="20"/>
                <w:szCs w:val="20"/>
              </w:rPr>
              <w:t>23</w:t>
            </w:r>
          </w:p>
        </w:tc>
        <w:tc>
          <w:tcPr>
            <w:tcW w:w="1657" w:type="dxa"/>
            <w:tcBorders>
              <w:left w:val="nil"/>
              <w:right w:val="nil"/>
            </w:tcBorders>
            <w:shd w:val="clear" w:color="auto" w:fill="D3DFEE"/>
            <w:noWrap/>
            <w:vAlign w:val="center"/>
            <w:hideMark/>
          </w:tcPr>
          <w:p w14:paraId="1C07DA2A" w14:textId="77777777" w:rsidR="007670C3" w:rsidRPr="002E5315" w:rsidRDefault="007670C3" w:rsidP="005307B5">
            <w:pPr>
              <w:rPr>
                <w:rFonts w:cs="Calibri"/>
                <w:color w:val="000000"/>
                <w:sz w:val="20"/>
                <w:szCs w:val="20"/>
              </w:rPr>
            </w:pPr>
            <w:r w:rsidRPr="002E5315">
              <w:rPr>
                <w:rFonts w:cs="Calibri"/>
                <w:color w:val="000000"/>
                <w:sz w:val="20"/>
                <w:szCs w:val="20"/>
              </w:rPr>
              <w:t>2,4%</w:t>
            </w:r>
          </w:p>
        </w:tc>
      </w:tr>
      <w:tr w:rsidR="007670C3" w:rsidRPr="002E5315" w14:paraId="7A6EED87" w14:textId="77777777" w:rsidTr="005307B5">
        <w:trPr>
          <w:trHeight w:val="255"/>
          <w:jc w:val="center"/>
        </w:trPr>
        <w:tc>
          <w:tcPr>
            <w:tcW w:w="5866" w:type="dxa"/>
            <w:shd w:val="clear" w:color="auto" w:fill="auto"/>
            <w:vAlign w:val="center"/>
            <w:hideMark/>
          </w:tcPr>
          <w:p w14:paraId="388E9A92" w14:textId="77777777" w:rsidR="007670C3" w:rsidRPr="002E5315" w:rsidRDefault="007670C3" w:rsidP="005307B5">
            <w:pPr>
              <w:contextualSpacing/>
              <w:rPr>
                <w:b/>
                <w:bCs/>
                <w:color w:val="000000"/>
                <w:sz w:val="20"/>
                <w:szCs w:val="20"/>
              </w:rPr>
            </w:pPr>
            <w:r w:rsidRPr="002E5315">
              <w:rPr>
                <w:bCs/>
                <w:color w:val="000000"/>
                <w:sz w:val="20"/>
                <w:szCs w:val="20"/>
              </w:rPr>
              <w:t>ne smatra se informacijom u smislu ZPPI-ja</w:t>
            </w:r>
          </w:p>
        </w:tc>
        <w:tc>
          <w:tcPr>
            <w:tcW w:w="1657" w:type="dxa"/>
            <w:shd w:val="clear" w:color="auto" w:fill="auto"/>
            <w:noWrap/>
            <w:vAlign w:val="center"/>
            <w:hideMark/>
          </w:tcPr>
          <w:p w14:paraId="51CCA815" w14:textId="77777777" w:rsidR="007670C3" w:rsidRPr="002E5315" w:rsidRDefault="007670C3" w:rsidP="005307B5">
            <w:pPr>
              <w:rPr>
                <w:rFonts w:cs="Calibri"/>
                <w:color w:val="000000"/>
                <w:sz w:val="20"/>
                <w:szCs w:val="20"/>
              </w:rPr>
            </w:pPr>
            <w:r w:rsidRPr="002E5315">
              <w:rPr>
                <w:rFonts w:cs="Calibri"/>
                <w:color w:val="000000"/>
                <w:sz w:val="20"/>
                <w:szCs w:val="20"/>
              </w:rPr>
              <w:t>180</w:t>
            </w:r>
          </w:p>
        </w:tc>
        <w:tc>
          <w:tcPr>
            <w:tcW w:w="1657" w:type="dxa"/>
            <w:shd w:val="clear" w:color="auto" w:fill="auto"/>
            <w:noWrap/>
            <w:vAlign w:val="center"/>
            <w:hideMark/>
          </w:tcPr>
          <w:p w14:paraId="33590DB0" w14:textId="77777777" w:rsidR="007670C3" w:rsidRPr="002E5315" w:rsidRDefault="007670C3" w:rsidP="005307B5">
            <w:pPr>
              <w:rPr>
                <w:rFonts w:cs="Calibri"/>
                <w:color w:val="000000"/>
                <w:sz w:val="20"/>
                <w:szCs w:val="20"/>
              </w:rPr>
            </w:pPr>
            <w:r w:rsidRPr="002E5315">
              <w:rPr>
                <w:rFonts w:cs="Calibri"/>
                <w:color w:val="000000"/>
                <w:sz w:val="20"/>
                <w:szCs w:val="20"/>
              </w:rPr>
              <w:t>18,79%</w:t>
            </w:r>
          </w:p>
        </w:tc>
      </w:tr>
    </w:tbl>
    <w:p w14:paraId="0C9B5705" w14:textId="77777777" w:rsidR="007670C3" w:rsidRPr="002E5315" w:rsidRDefault="007670C3" w:rsidP="00A02762">
      <w:pPr>
        <w:spacing w:after="240"/>
        <w:rPr>
          <w:i/>
          <w:sz w:val="20"/>
          <w:szCs w:val="20"/>
        </w:rPr>
      </w:pPr>
      <w:r w:rsidRPr="002E5315">
        <w:rPr>
          <w:i/>
          <w:sz w:val="20"/>
          <w:szCs w:val="20"/>
        </w:rPr>
        <w:t>Napomena: zahtjevi mogu biti odbijeni po više osnova</w:t>
      </w:r>
    </w:p>
    <w:p w14:paraId="6F2A834A" w14:textId="3C71CDF6" w:rsidR="007670C3" w:rsidRPr="002E5315" w:rsidRDefault="007670C3" w:rsidP="00A02762">
      <w:pPr>
        <w:rPr>
          <w:strike/>
          <w:szCs w:val="23"/>
        </w:rPr>
      </w:pPr>
      <w:r w:rsidRPr="002E5315">
        <w:rPr>
          <w:szCs w:val="23"/>
        </w:rPr>
        <w:t xml:space="preserve">Vezano za klasificirane informacije, nastavljen je pad navedenog razloga za odbijanje zahtjeva za </w:t>
      </w:r>
      <w:r w:rsidR="005823CA" w:rsidRPr="002E5315">
        <w:rPr>
          <w:szCs w:val="23"/>
        </w:rPr>
        <w:t>pristup informacijama, sa 152 slučaja u 2017. i 80 u 2018., na 21 ili ili nešto više od 2%</w:t>
      </w:r>
      <w:r w:rsidR="00954DB8" w:rsidRPr="002E5315">
        <w:rPr>
          <w:szCs w:val="23"/>
        </w:rPr>
        <w:t xml:space="preserve"> </w:t>
      </w:r>
      <w:r w:rsidR="005823CA" w:rsidRPr="002E5315">
        <w:rPr>
          <w:szCs w:val="23"/>
        </w:rPr>
        <w:t xml:space="preserve">svih odbijenih zahtjeva u 2019. Vezano uz pristup informacijama koje predstavljaju klasificirane informacije, UVNS je izvijestio da je u 2019. zaprimio ukupno osam zahtjeva za davanjem prethodnog mišljenja u okviru provedbe testa razmjernosti i javnog interesa, što je pad od 91,5% u odnosu na 2018., kad ih je zaprimljeno 94. UVNS je u 2019. od ukupno osam zahtjeva, sedam riješio na način da je u šest predmeta zauzeo i obrazložio stav o potrebi daljnjeg zadržavanja određenog stupnja tajnosti podataka, a u jednom predložio dodatno razmatranje te je za jedan zahtjev izdano priopćenje da se </w:t>
      </w:r>
      <w:r w:rsidR="005823CA" w:rsidRPr="002E5315">
        <w:rPr>
          <w:rFonts w:cs="Calibri"/>
          <w:szCs w:val="23"/>
        </w:rPr>
        <w:t>ne radi o zahtjevu o kojem bi se davalo mišljenje u okviru nadležnosti UVNS-a</w:t>
      </w:r>
      <w:r w:rsidRPr="002E5315">
        <w:rPr>
          <w:szCs w:val="23"/>
        </w:rPr>
        <w:t>.</w:t>
      </w:r>
    </w:p>
    <w:p w14:paraId="4CFBB055" w14:textId="7DAB01D5" w:rsidR="007670C3" w:rsidRPr="002E5315" w:rsidRDefault="007670C3" w:rsidP="00A02762">
      <w:pPr>
        <w:pStyle w:val="Naslov2"/>
      </w:pPr>
      <w:bookmarkStart w:id="12" w:name="_Toc36308918"/>
      <w:r w:rsidRPr="002E5315">
        <w:lastRenderedPageBreak/>
        <w:t>Rješavanje zahtjeva za ponovnu uporabu informacija</w:t>
      </w:r>
      <w:bookmarkEnd w:id="12"/>
      <w:r w:rsidRPr="002E5315">
        <w:t xml:space="preserve"> </w:t>
      </w:r>
    </w:p>
    <w:p w14:paraId="158E419B" w14:textId="77777777" w:rsidR="005823CA" w:rsidRPr="002E5315" w:rsidRDefault="005823CA" w:rsidP="005823CA">
      <w:pPr>
        <w:rPr>
          <w:szCs w:val="23"/>
        </w:rPr>
      </w:pPr>
      <w:r w:rsidRPr="002E5315">
        <w:rPr>
          <w:szCs w:val="23"/>
        </w:rPr>
        <w:t>Tijekom 2019. je 235 zahtjeva za ponovnu uporabu informacija zaprimilo 67 tijela, što predstavlja smanjenje u odnosu na 2018., kad je 98 tijela zaprimilo 393 zahtjeva. Međutim, s obzirom na propisani djelokrug rada određenih tijela koja su navela da su zaprimila zahtjeve za ponovnu uporabu informacija, kako je naprijed problematizirano, razvidno je da se u većini slučajeva ne radi o tijelima koja u okviru svoje nadležnosti vode registre i baze podataka pogodne za ponovnu uporabu (centri za socijalnu skrb, dječji vrtići, domovi za starije, osnovne i srednje škole i dr.) pa je upitno radi li se u svih 235 slučajeva o ponovnoj uporabi informacija (primjerice, Hrvatski restauratorski zavod s najvećim brojem zaprimljenih zahtjeva za ponovnu uporabu – 82, nije zapravo zaprimio nijedan takav zahtjev, već su sve zahtjevi za pristup informacijama, što znači da se ukupan broj zahtjeva automatski može smanjiti na 153).</w:t>
      </w:r>
    </w:p>
    <w:p w14:paraId="53A3C2BD" w14:textId="0D7792F4" w:rsidR="007670C3" w:rsidRPr="002E5315" w:rsidRDefault="005823CA" w:rsidP="005823CA">
      <w:pPr>
        <w:rPr>
          <w:szCs w:val="23"/>
        </w:rPr>
      </w:pPr>
      <w:r w:rsidRPr="002E5315">
        <w:rPr>
          <w:szCs w:val="23"/>
        </w:rPr>
        <w:t>Uz 235 zaprimljenih zahtjeva, tijela su navela da je bilo još devet prenesenih zahtjeva, a 45 su ustupila nadležnim tijelima na rješavanje. 213 ili 87,3% zahtjeva je tijekom 2019. riješeno, od čega je 206 ili 96,7% riješeno u roku. U Tablici 2.3. prikazani su načini rješavanja predmetnih zahtjeva</w:t>
      </w:r>
      <w:r w:rsidR="007670C3" w:rsidRPr="002E5315">
        <w:rPr>
          <w:szCs w:val="23"/>
        </w:rPr>
        <w:t>.</w:t>
      </w:r>
    </w:p>
    <w:p w14:paraId="4C72A201" w14:textId="77777777" w:rsidR="007670C3" w:rsidRPr="002E5315" w:rsidRDefault="007670C3" w:rsidP="00A02762">
      <w:pPr>
        <w:keepNext/>
        <w:tabs>
          <w:tab w:val="left" w:pos="-1843"/>
        </w:tabs>
        <w:spacing w:before="240"/>
        <w:ind w:right="28"/>
        <w:rPr>
          <w:rFonts w:cs="Segoe UI"/>
          <w:sz w:val="20"/>
          <w:szCs w:val="20"/>
        </w:rPr>
      </w:pPr>
      <w:r w:rsidRPr="002E5315">
        <w:rPr>
          <w:rFonts w:cs="Segoe UI"/>
          <w:sz w:val="20"/>
          <w:szCs w:val="20"/>
        </w:rPr>
        <w:t>Tablica 2.3. Postupanje po zahtjevima za ponovnu uporabu</w:t>
      </w:r>
    </w:p>
    <w:tbl>
      <w:tblPr>
        <w:tblW w:w="0" w:type="auto"/>
        <w:jc w:val="center"/>
        <w:tblBorders>
          <w:top w:val="single" w:sz="8" w:space="0" w:color="4F81BD"/>
          <w:bottom w:val="single" w:sz="8" w:space="0" w:color="4F81BD"/>
        </w:tblBorders>
        <w:tblLayout w:type="fixed"/>
        <w:tblLook w:val="04A0" w:firstRow="1" w:lastRow="0" w:firstColumn="1" w:lastColumn="0" w:noHBand="0" w:noVBand="1"/>
      </w:tblPr>
      <w:tblGrid>
        <w:gridCol w:w="4536"/>
        <w:gridCol w:w="3296"/>
        <w:gridCol w:w="1276"/>
      </w:tblGrid>
      <w:tr w:rsidR="007670C3" w:rsidRPr="002E5315" w14:paraId="2D39430F" w14:textId="77777777" w:rsidTr="00AD7E19">
        <w:trPr>
          <w:trHeight w:val="282"/>
          <w:jc w:val="center"/>
        </w:trPr>
        <w:tc>
          <w:tcPr>
            <w:tcW w:w="4536" w:type="dxa"/>
            <w:tcBorders>
              <w:top w:val="single" w:sz="8" w:space="0" w:color="4F81BD"/>
              <w:left w:val="nil"/>
              <w:bottom w:val="single" w:sz="8" w:space="0" w:color="4F81BD"/>
              <w:right w:val="nil"/>
            </w:tcBorders>
            <w:noWrap/>
            <w:vAlign w:val="center"/>
            <w:hideMark/>
          </w:tcPr>
          <w:p w14:paraId="64BDD5EE" w14:textId="77777777" w:rsidR="007670C3" w:rsidRPr="002E5315" w:rsidRDefault="007670C3" w:rsidP="005307B5">
            <w:pPr>
              <w:rPr>
                <w:b/>
                <w:bCs/>
                <w:sz w:val="20"/>
                <w:szCs w:val="20"/>
              </w:rPr>
            </w:pPr>
            <w:r w:rsidRPr="002E5315">
              <w:rPr>
                <w:b/>
                <w:sz w:val="20"/>
                <w:szCs w:val="20"/>
              </w:rPr>
              <w:t>Postupanje sa zahtjevom</w:t>
            </w:r>
          </w:p>
        </w:tc>
        <w:tc>
          <w:tcPr>
            <w:tcW w:w="3296" w:type="dxa"/>
            <w:tcBorders>
              <w:top w:val="single" w:sz="8" w:space="0" w:color="4F81BD"/>
              <w:left w:val="nil"/>
              <w:bottom w:val="single" w:sz="8" w:space="0" w:color="4F81BD"/>
              <w:right w:val="nil"/>
            </w:tcBorders>
            <w:noWrap/>
            <w:vAlign w:val="center"/>
            <w:hideMark/>
          </w:tcPr>
          <w:p w14:paraId="61C4F5EF" w14:textId="77777777" w:rsidR="007670C3" w:rsidRPr="002E5315" w:rsidRDefault="007670C3" w:rsidP="005307B5">
            <w:pPr>
              <w:rPr>
                <w:b/>
                <w:bCs/>
                <w:sz w:val="20"/>
                <w:szCs w:val="20"/>
              </w:rPr>
            </w:pPr>
            <w:r w:rsidRPr="002E5315">
              <w:rPr>
                <w:b/>
                <w:sz w:val="20"/>
                <w:szCs w:val="20"/>
              </w:rPr>
              <w:t>Broj zahtjeva</w:t>
            </w:r>
          </w:p>
        </w:tc>
        <w:tc>
          <w:tcPr>
            <w:tcW w:w="1276" w:type="dxa"/>
            <w:tcBorders>
              <w:top w:val="single" w:sz="8" w:space="0" w:color="4F81BD"/>
              <w:left w:val="nil"/>
              <w:bottom w:val="single" w:sz="8" w:space="0" w:color="4F81BD"/>
              <w:right w:val="nil"/>
            </w:tcBorders>
            <w:noWrap/>
            <w:vAlign w:val="center"/>
            <w:hideMark/>
          </w:tcPr>
          <w:p w14:paraId="5C1BAFEF" w14:textId="77777777" w:rsidR="007670C3" w:rsidRPr="002E5315" w:rsidRDefault="007670C3" w:rsidP="005307B5">
            <w:pPr>
              <w:rPr>
                <w:b/>
                <w:bCs/>
                <w:sz w:val="20"/>
                <w:szCs w:val="20"/>
              </w:rPr>
            </w:pPr>
            <w:r w:rsidRPr="002E5315">
              <w:rPr>
                <w:b/>
                <w:sz w:val="20"/>
                <w:szCs w:val="20"/>
              </w:rPr>
              <w:t>%</w:t>
            </w:r>
          </w:p>
        </w:tc>
      </w:tr>
      <w:tr w:rsidR="007670C3" w:rsidRPr="002E5315" w14:paraId="6B5B9F0D" w14:textId="77777777" w:rsidTr="00756407">
        <w:trPr>
          <w:trHeight w:val="170"/>
          <w:jc w:val="center"/>
        </w:trPr>
        <w:tc>
          <w:tcPr>
            <w:tcW w:w="4536" w:type="dxa"/>
            <w:tcBorders>
              <w:left w:val="nil"/>
              <w:right w:val="nil"/>
            </w:tcBorders>
            <w:shd w:val="clear" w:color="auto" w:fill="D9E2F3" w:themeFill="accent1" w:themeFillTint="33"/>
            <w:vAlign w:val="center"/>
            <w:hideMark/>
          </w:tcPr>
          <w:p w14:paraId="08CE6B1F" w14:textId="77777777" w:rsidR="007670C3" w:rsidRPr="002E5315" w:rsidRDefault="007670C3" w:rsidP="005307B5">
            <w:pPr>
              <w:rPr>
                <w:rFonts w:cs="Segoe UI"/>
                <w:bCs/>
                <w:sz w:val="20"/>
                <w:szCs w:val="20"/>
              </w:rPr>
            </w:pPr>
            <w:r w:rsidRPr="002E5315">
              <w:rPr>
                <w:sz w:val="20"/>
                <w:szCs w:val="20"/>
              </w:rPr>
              <w:t>Usvojeni zahtjevi</w:t>
            </w:r>
          </w:p>
        </w:tc>
        <w:tc>
          <w:tcPr>
            <w:tcW w:w="3296" w:type="dxa"/>
            <w:tcBorders>
              <w:left w:val="nil"/>
              <w:right w:val="nil"/>
            </w:tcBorders>
            <w:shd w:val="clear" w:color="auto" w:fill="D9E2F3" w:themeFill="accent1" w:themeFillTint="33"/>
            <w:noWrap/>
            <w:vAlign w:val="bottom"/>
            <w:hideMark/>
          </w:tcPr>
          <w:p w14:paraId="71F0417A" w14:textId="77777777" w:rsidR="007670C3" w:rsidRPr="002E5315" w:rsidRDefault="007670C3" w:rsidP="005307B5">
            <w:pPr>
              <w:rPr>
                <w:rFonts w:cs="Calibri"/>
                <w:color w:val="000000"/>
                <w:sz w:val="20"/>
                <w:szCs w:val="20"/>
              </w:rPr>
            </w:pPr>
            <w:r w:rsidRPr="002E5315">
              <w:rPr>
                <w:rFonts w:cs="Calibri"/>
                <w:color w:val="000000"/>
                <w:sz w:val="20"/>
                <w:szCs w:val="20"/>
              </w:rPr>
              <w:t>202</w:t>
            </w:r>
          </w:p>
        </w:tc>
        <w:tc>
          <w:tcPr>
            <w:tcW w:w="1276" w:type="dxa"/>
            <w:tcBorders>
              <w:left w:val="nil"/>
              <w:right w:val="nil"/>
            </w:tcBorders>
            <w:shd w:val="clear" w:color="auto" w:fill="D9E2F3" w:themeFill="accent1" w:themeFillTint="33"/>
            <w:noWrap/>
            <w:vAlign w:val="bottom"/>
            <w:hideMark/>
          </w:tcPr>
          <w:p w14:paraId="290CCE85" w14:textId="77777777" w:rsidR="007670C3" w:rsidRPr="002E5315" w:rsidRDefault="007670C3" w:rsidP="005307B5">
            <w:pPr>
              <w:rPr>
                <w:rFonts w:cs="Calibri"/>
                <w:color w:val="000000"/>
                <w:sz w:val="20"/>
                <w:szCs w:val="20"/>
              </w:rPr>
            </w:pPr>
            <w:r w:rsidRPr="002E5315">
              <w:rPr>
                <w:rFonts w:cs="Calibri"/>
                <w:color w:val="000000"/>
                <w:sz w:val="20"/>
                <w:szCs w:val="20"/>
              </w:rPr>
              <w:t>87,07%</w:t>
            </w:r>
          </w:p>
        </w:tc>
      </w:tr>
      <w:tr w:rsidR="007670C3" w:rsidRPr="002E5315" w14:paraId="67D97190" w14:textId="77777777" w:rsidTr="00AD7E19">
        <w:trPr>
          <w:trHeight w:val="232"/>
          <w:jc w:val="center"/>
        </w:trPr>
        <w:tc>
          <w:tcPr>
            <w:tcW w:w="4536" w:type="dxa"/>
            <w:vAlign w:val="center"/>
          </w:tcPr>
          <w:p w14:paraId="34F1B4A7" w14:textId="77777777" w:rsidR="007670C3" w:rsidRPr="002E5315" w:rsidRDefault="007670C3" w:rsidP="005307B5">
            <w:pPr>
              <w:rPr>
                <w:rFonts w:cs="Segoe UI"/>
                <w:bCs/>
                <w:sz w:val="20"/>
                <w:szCs w:val="20"/>
              </w:rPr>
            </w:pPr>
            <w:r w:rsidRPr="002E5315">
              <w:rPr>
                <w:sz w:val="20"/>
                <w:szCs w:val="20"/>
              </w:rPr>
              <w:t>Djelomično usvojeni zahtjevi</w:t>
            </w:r>
          </w:p>
        </w:tc>
        <w:tc>
          <w:tcPr>
            <w:tcW w:w="3296" w:type="dxa"/>
            <w:noWrap/>
            <w:vAlign w:val="bottom"/>
            <w:hideMark/>
          </w:tcPr>
          <w:p w14:paraId="37AC391E" w14:textId="77777777" w:rsidR="007670C3" w:rsidRPr="002E5315" w:rsidRDefault="007670C3" w:rsidP="005307B5">
            <w:pPr>
              <w:rPr>
                <w:rFonts w:cs="Calibri"/>
                <w:color w:val="000000"/>
                <w:sz w:val="20"/>
                <w:szCs w:val="20"/>
              </w:rPr>
            </w:pPr>
            <w:r w:rsidRPr="002E5315">
              <w:rPr>
                <w:rFonts w:cs="Calibri"/>
                <w:color w:val="000000"/>
                <w:sz w:val="20"/>
                <w:szCs w:val="20"/>
              </w:rPr>
              <w:t>4</w:t>
            </w:r>
          </w:p>
        </w:tc>
        <w:tc>
          <w:tcPr>
            <w:tcW w:w="1276" w:type="dxa"/>
            <w:noWrap/>
            <w:vAlign w:val="bottom"/>
            <w:hideMark/>
          </w:tcPr>
          <w:p w14:paraId="6518148E" w14:textId="77777777" w:rsidR="007670C3" w:rsidRPr="002E5315" w:rsidRDefault="007670C3" w:rsidP="005307B5">
            <w:pPr>
              <w:rPr>
                <w:rFonts w:cs="Calibri"/>
                <w:color w:val="000000"/>
                <w:sz w:val="20"/>
                <w:szCs w:val="20"/>
              </w:rPr>
            </w:pPr>
            <w:r w:rsidRPr="002E5315">
              <w:rPr>
                <w:rFonts w:cs="Calibri"/>
                <w:color w:val="000000"/>
                <w:sz w:val="20"/>
                <w:szCs w:val="20"/>
              </w:rPr>
              <w:t>1,72%</w:t>
            </w:r>
          </w:p>
        </w:tc>
      </w:tr>
      <w:tr w:rsidR="007670C3" w:rsidRPr="002E5315" w14:paraId="2E87419D" w14:textId="77777777" w:rsidTr="00756407">
        <w:trPr>
          <w:trHeight w:val="170"/>
          <w:jc w:val="center"/>
        </w:trPr>
        <w:tc>
          <w:tcPr>
            <w:tcW w:w="4536" w:type="dxa"/>
            <w:tcBorders>
              <w:left w:val="nil"/>
              <w:right w:val="nil"/>
            </w:tcBorders>
            <w:shd w:val="clear" w:color="auto" w:fill="D9E2F3" w:themeFill="accent1" w:themeFillTint="33"/>
            <w:noWrap/>
            <w:vAlign w:val="center"/>
            <w:hideMark/>
          </w:tcPr>
          <w:p w14:paraId="1BE68352" w14:textId="77777777" w:rsidR="007670C3" w:rsidRPr="002E5315" w:rsidRDefault="007670C3" w:rsidP="005307B5">
            <w:pPr>
              <w:rPr>
                <w:rFonts w:cs="Segoe UI"/>
                <w:b/>
                <w:bCs/>
                <w:sz w:val="20"/>
                <w:szCs w:val="20"/>
              </w:rPr>
            </w:pPr>
            <w:r w:rsidRPr="002E5315">
              <w:rPr>
                <w:sz w:val="20"/>
                <w:szCs w:val="20"/>
              </w:rPr>
              <w:t>Odbijeni zahtjevi</w:t>
            </w:r>
          </w:p>
        </w:tc>
        <w:tc>
          <w:tcPr>
            <w:tcW w:w="3296" w:type="dxa"/>
            <w:tcBorders>
              <w:left w:val="nil"/>
              <w:right w:val="nil"/>
            </w:tcBorders>
            <w:shd w:val="clear" w:color="auto" w:fill="D9E2F3" w:themeFill="accent1" w:themeFillTint="33"/>
            <w:noWrap/>
            <w:vAlign w:val="bottom"/>
            <w:hideMark/>
          </w:tcPr>
          <w:p w14:paraId="7548AABE" w14:textId="77777777" w:rsidR="007670C3" w:rsidRPr="002E5315" w:rsidRDefault="007670C3" w:rsidP="005307B5">
            <w:pPr>
              <w:rPr>
                <w:rFonts w:cs="Calibri"/>
                <w:color w:val="000000"/>
                <w:sz w:val="20"/>
                <w:szCs w:val="20"/>
              </w:rPr>
            </w:pPr>
            <w:r w:rsidRPr="002E5315">
              <w:rPr>
                <w:rFonts w:cs="Calibri"/>
                <w:color w:val="000000"/>
                <w:sz w:val="20"/>
                <w:szCs w:val="20"/>
              </w:rPr>
              <w:t>8</w:t>
            </w:r>
          </w:p>
        </w:tc>
        <w:tc>
          <w:tcPr>
            <w:tcW w:w="1276" w:type="dxa"/>
            <w:tcBorders>
              <w:left w:val="nil"/>
              <w:right w:val="nil"/>
            </w:tcBorders>
            <w:shd w:val="clear" w:color="auto" w:fill="D9E2F3" w:themeFill="accent1" w:themeFillTint="33"/>
            <w:noWrap/>
            <w:vAlign w:val="bottom"/>
            <w:hideMark/>
          </w:tcPr>
          <w:p w14:paraId="7FCB1F93" w14:textId="77777777" w:rsidR="007670C3" w:rsidRPr="002E5315" w:rsidRDefault="007670C3" w:rsidP="005307B5">
            <w:pPr>
              <w:rPr>
                <w:rFonts w:cs="Calibri"/>
                <w:color w:val="000000"/>
                <w:sz w:val="20"/>
                <w:szCs w:val="20"/>
              </w:rPr>
            </w:pPr>
            <w:r w:rsidRPr="002E5315">
              <w:rPr>
                <w:rFonts w:cs="Calibri"/>
                <w:color w:val="000000"/>
                <w:sz w:val="20"/>
                <w:szCs w:val="20"/>
              </w:rPr>
              <w:t>3,45%</w:t>
            </w:r>
          </w:p>
        </w:tc>
      </w:tr>
      <w:tr w:rsidR="007670C3" w:rsidRPr="002E5315" w14:paraId="1C93F02B" w14:textId="77777777" w:rsidTr="00AD7E19">
        <w:trPr>
          <w:trHeight w:val="170"/>
          <w:jc w:val="center"/>
        </w:trPr>
        <w:tc>
          <w:tcPr>
            <w:tcW w:w="4536" w:type="dxa"/>
            <w:tcBorders>
              <w:left w:val="nil"/>
              <w:right w:val="nil"/>
            </w:tcBorders>
            <w:shd w:val="clear" w:color="auto" w:fill="FFFFFF"/>
            <w:noWrap/>
            <w:vAlign w:val="center"/>
          </w:tcPr>
          <w:p w14:paraId="15ECFD94" w14:textId="77777777" w:rsidR="007670C3" w:rsidRPr="002E5315" w:rsidRDefault="007670C3" w:rsidP="005307B5">
            <w:pPr>
              <w:rPr>
                <w:sz w:val="20"/>
                <w:szCs w:val="20"/>
              </w:rPr>
            </w:pPr>
            <w:r w:rsidRPr="002E5315">
              <w:rPr>
                <w:sz w:val="20"/>
                <w:szCs w:val="20"/>
              </w:rPr>
              <w:t>Odbačeni zahtjevi</w:t>
            </w:r>
          </w:p>
        </w:tc>
        <w:tc>
          <w:tcPr>
            <w:tcW w:w="3296" w:type="dxa"/>
            <w:tcBorders>
              <w:left w:val="nil"/>
              <w:right w:val="nil"/>
            </w:tcBorders>
            <w:shd w:val="clear" w:color="auto" w:fill="FFFFFF"/>
            <w:noWrap/>
            <w:vAlign w:val="bottom"/>
          </w:tcPr>
          <w:p w14:paraId="3FC8CC91" w14:textId="77777777" w:rsidR="007670C3" w:rsidRPr="002E5315" w:rsidRDefault="007670C3" w:rsidP="005307B5">
            <w:pPr>
              <w:rPr>
                <w:rFonts w:cs="Calibri"/>
                <w:color w:val="000000"/>
                <w:sz w:val="20"/>
                <w:szCs w:val="20"/>
              </w:rPr>
            </w:pPr>
            <w:r w:rsidRPr="002E5315">
              <w:rPr>
                <w:rFonts w:cs="Calibri"/>
                <w:color w:val="000000"/>
                <w:sz w:val="20"/>
                <w:szCs w:val="20"/>
              </w:rPr>
              <w:t>5</w:t>
            </w:r>
          </w:p>
        </w:tc>
        <w:tc>
          <w:tcPr>
            <w:tcW w:w="1276" w:type="dxa"/>
            <w:tcBorders>
              <w:left w:val="nil"/>
              <w:right w:val="nil"/>
            </w:tcBorders>
            <w:shd w:val="clear" w:color="auto" w:fill="FFFFFF"/>
            <w:noWrap/>
            <w:vAlign w:val="bottom"/>
          </w:tcPr>
          <w:p w14:paraId="155C9A30" w14:textId="77777777" w:rsidR="007670C3" w:rsidRPr="002E5315" w:rsidRDefault="007670C3" w:rsidP="005307B5">
            <w:pPr>
              <w:rPr>
                <w:rFonts w:cs="Calibri"/>
                <w:color w:val="000000"/>
                <w:sz w:val="20"/>
                <w:szCs w:val="20"/>
              </w:rPr>
            </w:pPr>
            <w:r w:rsidRPr="002E5315">
              <w:rPr>
                <w:rFonts w:cs="Calibri"/>
                <w:color w:val="000000"/>
                <w:sz w:val="20"/>
                <w:szCs w:val="20"/>
              </w:rPr>
              <w:t>2,16%</w:t>
            </w:r>
          </w:p>
        </w:tc>
      </w:tr>
      <w:tr w:rsidR="007670C3" w:rsidRPr="002E5315" w14:paraId="6C802CD4" w14:textId="77777777" w:rsidTr="00756407">
        <w:trPr>
          <w:trHeight w:val="170"/>
          <w:jc w:val="center"/>
        </w:trPr>
        <w:tc>
          <w:tcPr>
            <w:tcW w:w="4536" w:type="dxa"/>
            <w:tcBorders>
              <w:left w:val="nil"/>
              <w:right w:val="nil"/>
            </w:tcBorders>
            <w:shd w:val="clear" w:color="auto" w:fill="D9E2F3" w:themeFill="accent1" w:themeFillTint="33"/>
            <w:noWrap/>
            <w:vAlign w:val="center"/>
          </w:tcPr>
          <w:p w14:paraId="72715518" w14:textId="77777777" w:rsidR="007670C3" w:rsidRPr="002E5315" w:rsidRDefault="007670C3" w:rsidP="005307B5">
            <w:pPr>
              <w:rPr>
                <w:sz w:val="20"/>
                <w:szCs w:val="20"/>
              </w:rPr>
            </w:pPr>
            <w:r w:rsidRPr="002E5315">
              <w:rPr>
                <w:sz w:val="20"/>
                <w:szCs w:val="20"/>
              </w:rPr>
              <w:t>Neriješeni zahtjevi</w:t>
            </w:r>
          </w:p>
        </w:tc>
        <w:tc>
          <w:tcPr>
            <w:tcW w:w="3296" w:type="dxa"/>
            <w:tcBorders>
              <w:left w:val="nil"/>
              <w:right w:val="nil"/>
            </w:tcBorders>
            <w:shd w:val="clear" w:color="auto" w:fill="D9E2F3" w:themeFill="accent1" w:themeFillTint="33"/>
            <w:noWrap/>
            <w:vAlign w:val="bottom"/>
          </w:tcPr>
          <w:p w14:paraId="00DA71C2" w14:textId="77777777" w:rsidR="007670C3" w:rsidRPr="002E5315" w:rsidRDefault="007670C3" w:rsidP="005307B5">
            <w:pPr>
              <w:rPr>
                <w:rFonts w:cs="Calibri"/>
                <w:color w:val="000000"/>
                <w:sz w:val="20"/>
                <w:szCs w:val="20"/>
              </w:rPr>
            </w:pPr>
            <w:r w:rsidRPr="002E5315">
              <w:rPr>
                <w:rFonts w:cs="Calibri"/>
                <w:color w:val="000000"/>
                <w:sz w:val="20"/>
                <w:szCs w:val="20"/>
              </w:rPr>
              <w:t>13</w:t>
            </w:r>
          </w:p>
        </w:tc>
        <w:tc>
          <w:tcPr>
            <w:tcW w:w="1276" w:type="dxa"/>
            <w:tcBorders>
              <w:left w:val="nil"/>
              <w:right w:val="nil"/>
            </w:tcBorders>
            <w:shd w:val="clear" w:color="auto" w:fill="D9E2F3" w:themeFill="accent1" w:themeFillTint="33"/>
            <w:noWrap/>
            <w:vAlign w:val="bottom"/>
          </w:tcPr>
          <w:p w14:paraId="574AD2A7" w14:textId="77777777" w:rsidR="007670C3" w:rsidRPr="002E5315" w:rsidRDefault="007670C3" w:rsidP="005307B5">
            <w:pPr>
              <w:rPr>
                <w:rFonts w:cs="Calibri"/>
                <w:color w:val="000000"/>
                <w:sz w:val="20"/>
                <w:szCs w:val="20"/>
              </w:rPr>
            </w:pPr>
            <w:r w:rsidRPr="002E5315">
              <w:rPr>
                <w:rFonts w:cs="Calibri"/>
                <w:color w:val="000000"/>
                <w:sz w:val="20"/>
                <w:szCs w:val="20"/>
              </w:rPr>
              <w:t>5,6%</w:t>
            </w:r>
          </w:p>
        </w:tc>
      </w:tr>
    </w:tbl>
    <w:p w14:paraId="431485EB" w14:textId="4A3FFB94" w:rsidR="007670C3" w:rsidRPr="002E5315" w:rsidRDefault="007670C3" w:rsidP="00A02762">
      <w:pPr>
        <w:pStyle w:val="Naslov2"/>
      </w:pPr>
      <w:bookmarkStart w:id="13" w:name="_Toc36308919"/>
      <w:r w:rsidRPr="002E5315">
        <w:t>Troškovi pružanja informacija</w:t>
      </w:r>
      <w:bookmarkEnd w:id="13"/>
    </w:p>
    <w:p w14:paraId="39C17CCC" w14:textId="77777777" w:rsidR="005823CA" w:rsidRPr="002E5315" w:rsidRDefault="005823CA" w:rsidP="005823CA">
      <w:pPr>
        <w:rPr>
          <w:szCs w:val="23"/>
        </w:rPr>
      </w:pPr>
      <w:r w:rsidRPr="002E5315">
        <w:rPr>
          <w:szCs w:val="23"/>
        </w:rPr>
        <w:t>U Tablici 2.4. prikazani su iznosi koje su tijela javne vlasti naplatila korisnicima u svrhu ostvarenja naknade stvarnih materijalnih troškova pružanja i dostave informacije (troškove kopiranja, skeniranja, poštanske dostave), sukladno Kriterijima koje je donio Povjerenik.</w:t>
      </w:r>
    </w:p>
    <w:p w14:paraId="4EDD80A4" w14:textId="77777777" w:rsidR="005823CA" w:rsidRPr="002E5315" w:rsidRDefault="005823CA" w:rsidP="005823CA">
      <w:pPr>
        <w:rPr>
          <w:strike/>
          <w:szCs w:val="23"/>
        </w:rPr>
      </w:pPr>
      <w:r w:rsidRPr="002E5315">
        <w:rPr>
          <w:szCs w:val="23"/>
        </w:rPr>
        <w:t>Visina ostvarene naknade stvarnih troškova, koju je tijekom 2019. od korisnika naplatilo 33 tijela (godinu ranije ih je bilo 38), iznosi 5.776,66 kn (prošle godine 5.450,31 kn), i to sve za pristup informacijama. U 2019. nije bilo naplaćenih troškova za ponovnu uporabu (prošle godine je bilo 137,50 kn).</w:t>
      </w:r>
    </w:p>
    <w:p w14:paraId="16B23952" w14:textId="229CE7F3" w:rsidR="007670C3" w:rsidRPr="002E5315" w:rsidRDefault="005823CA" w:rsidP="005823CA">
      <w:pPr>
        <w:rPr>
          <w:szCs w:val="23"/>
        </w:rPr>
      </w:pPr>
      <w:r w:rsidRPr="002E5315">
        <w:rPr>
          <w:szCs w:val="23"/>
        </w:rPr>
        <w:t>Najveće iznose ostvarene naknade za pristup informacijama naveli su Grad Vrbovec (589,80 kn), Grad Križevci</w:t>
      </w:r>
      <w:r w:rsidRPr="002E5315">
        <w:rPr>
          <w:szCs w:val="23"/>
        </w:rPr>
        <w:tab/>
        <w:t>(460,08 kn), Grad Delnice (265,40 kn), Općina Muć (</w:t>
      </w:r>
      <w:r w:rsidRPr="002E5315">
        <w:rPr>
          <w:szCs w:val="23"/>
        </w:rPr>
        <w:tab/>
        <w:t>183,75 kn), Općina Tribunj (107,20 kn), Grad Vrgorac (81,25 kn) i Općina Josipdol (64,97 kn), a ostala tijela su naplatila manje od 50 kn, iako se u Kriterijima Povjerenika preporučuje da se troškovi niži od 50 kn ne naplaćuju</w:t>
      </w:r>
      <w:r w:rsidR="007670C3" w:rsidRPr="002E5315">
        <w:rPr>
          <w:szCs w:val="23"/>
        </w:rPr>
        <w:t>.</w:t>
      </w:r>
    </w:p>
    <w:p w14:paraId="4E4DBF27" w14:textId="789ABCA8" w:rsidR="007670C3" w:rsidRPr="002E5315" w:rsidRDefault="007670C3" w:rsidP="00A02762">
      <w:pPr>
        <w:keepNext/>
        <w:spacing w:before="240"/>
        <w:rPr>
          <w:sz w:val="20"/>
          <w:szCs w:val="20"/>
        </w:rPr>
      </w:pPr>
      <w:r w:rsidRPr="002E5315">
        <w:rPr>
          <w:sz w:val="20"/>
          <w:szCs w:val="20"/>
        </w:rPr>
        <w:lastRenderedPageBreak/>
        <w:t>Tablica 2.</w:t>
      </w:r>
      <w:r w:rsidR="00A02762" w:rsidRPr="002E5315">
        <w:rPr>
          <w:sz w:val="20"/>
          <w:szCs w:val="20"/>
        </w:rPr>
        <w:t>4</w:t>
      </w:r>
      <w:r w:rsidRPr="002E5315">
        <w:rPr>
          <w:sz w:val="20"/>
          <w:szCs w:val="20"/>
        </w:rPr>
        <w:t>. Iznos naplaćene naknade za pristup i ponovnu uporabu informacija u 2019.</w:t>
      </w:r>
    </w:p>
    <w:tbl>
      <w:tblPr>
        <w:tblW w:w="0" w:type="auto"/>
        <w:jc w:val="center"/>
        <w:tblBorders>
          <w:top w:val="single" w:sz="8" w:space="0" w:color="4F81BD"/>
          <w:bottom w:val="single" w:sz="8" w:space="0" w:color="4F81BD"/>
        </w:tblBorders>
        <w:tblLook w:val="04A0" w:firstRow="1" w:lastRow="0" w:firstColumn="1" w:lastColumn="0" w:noHBand="0" w:noVBand="1"/>
      </w:tblPr>
      <w:tblGrid>
        <w:gridCol w:w="4193"/>
        <w:gridCol w:w="2504"/>
        <w:gridCol w:w="2442"/>
      </w:tblGrid>
      <w:tr w:rsidR="007670C3" w:rsidRPr="002E5315" w14:paraId="0F0CE7AF" w14:textId="77777777" w:rsidTr="005307B5">
        <w:trPr>
          <w:trHeight w:val="255"/>
          <w:jc w:val="center"/>
        </w:trPr>
        <w:tc>
          <w:tcPr>
            <w:tcW w:w="4193" w:type="dxa"/>
            <w:tcBorders>
              <w:top w:val="single" w:sz="8" w:space="0" w:color="4F81BD"/>
              <w:left w:val="nil"/>
              <w:bottom w:val="single" w:sz="8" w:space="0" w:color="4F81BD"/>
              <w:right w:val="nil"/>
            </w:tcBorders>
            <w:shd w:val="clear" w:color="auto" w:fill="auto"/>
            <w:vAlign w:val="center"/>
            <w:hideMark/>
          </w:tcPr>
          <w:p w14:paraId="17AB1622" w14:textId="77777777" w:rsidR="007670C3" w:rsidRPr="002E5315" w:rsidRDefault="007670C3" w:rsidP="005307B5">
            <w:pPr>
              <w:rPr>
                <w:b/>
                <w:bCs/>
                <w:color w:val="000000"/>
                <w:sz w:val="20"/>
                <w:szCs w:val="20"/>
              </w:rPr>
            </w:pPr>
            <w:r w:rsidRPr="002E5315">
              <w:rPr>
                <w:b/>
                <w:color w:val="000000"/>
                <w:sz w:val="20"/>
                <w:szCs w:val="20"/>
              </w:rPr>
              <w:t>Tijela javne vlasti</w:t>
            </w:r>
          </w:p>
        </w:tc>
        <w:tc>
          <w:tcPr>
            <w:tcW w:w="2504" w:type="dxa"/>
            <w:tcBorders>
              <w:top w:val="single" w:sz="8" w:space="0" w:color="4F81BD"/>
              <w:left w:val="nil"/>
              <w:bottom w:val="single" w:sz="8" w:space="0" w:color="4F81BD"/>
              <w:right w:val="nil"/>
            </w:tcBorders>
            <w:shd w:val="clear" w:color="auto" w:fill="auto"/>
            <w:vAlign w:val="center"/>
            <w:hideMark/>
          </w:tcPr>
          <w:p w14:paraId="197CDD76" w14:textId="77777777" w:rsidR="007670C3" w:rsidRPr="002E5315" w:rsidRDefault="007670C3" w:rsidP="005307B5">
            <w:pPr>
              <w:rPr>
                <w:b/>
                <w:bCs/>
                <w:color w:val="000000"/>
                <w:sz w:val="20"/>
                <w:szCs w:val="20"/>
              </w:rPr>
            </w:pPr>
            <w:r w:rsidRPr="002E5315">
              <w:rPr>
                <w:b/>
                <w:color w:val="000000"/>
                <w:sz w:val="20"/>
                <w:szCs w:val="20"/>
              </w:rPr>
              <w:t>Naknada za pristup informacijama</w:t>
            </w:r>
          </w:p>
        </w:tc>
        <w:tc>
          <w:tcPr>
            <w:tcW w:w="2442" w:type="dxa"/>
            <w:tcBorders>
              <w:top w:val="single" w:sz="8" w:space="0" w:color="4F81BD"/>
              <w:left w:val="nil"/>
              <w:bottom w:val="single" w:sz="8" w:space="0" w:color="4F81BD"/>
              <w:right w:val="nil"/>
            </w:tcBorders>
            <w:shd w:val="clear" w:color="auto" w:fill="auto"/>
            <w:vAlign w:val="center"/>
            <w:hideMark/>
          </w:tcPr>
          <w:p w14:paraId="6648B9CD" w14:textId="77777777" w:rsidR="007670C3" w:rsidRPr="002E5315" w:rsidRDefault="007670C3" w:rsidP="005307B5">
            <w:pPr>
              <w:rPr>
                <w:b/>
                <w:bCs/>
                <w:color w:val="000000"/>
                <w:sz w:val="20"/>
                <w:szCs w:val="20"/>
              </w:rPr>
            </w:pPr>
            <w:r w:rsidRPr="002E5315">
              <w:rPr>
                <w:b/>
                <w:color w:val="000000"/>
                <w:sz w:val="20"/>
                <w:szCs w:val="20"/>
              </w:rPr>
              <w:t>Naknada za ponovnu uporabu informacija</w:t>
            </w:r>
          </w:p>
        </w:tc>
      </w:tr>
      <w:tr w:rsidR="007670C3" w:rsidRPr="002E5315" w14:paraId="4F62865D" w14:textId="77777777" w:rsidTr="00756407">
        <w:trPr>
          <w:trHeight w:val="255"/>
          <w:jc w:val="center"/>
        </w:trPr>
        <w:tc>
          <w:tcPr>
            <w:tcW w:w="4193" w:type="dxa"/>
            <w:tcBorders>
              <w:left w:val="nil"/>
              <w:right w:val="nil"/>
            </w:tcBorders>
            <w:shd w:val="clear" w:color="auto" w:fill="D9E2F3" w:themeFill="accent1" w:themeFillTint="33"/>
            <w:vAlign w:val="center"/>
            <w:hideMark/>
          </w:tcPr>
          <w:p w14:paraId="7D20E1DD" w14:textId="77777777" w:rsidR="007670C3" w:rsidRPr="002E5315" w:rsidRDefault="007670C3" w:rsidP="005307B5">
            <w:pPr>
              <w:rPr>
                <w:b/>
                <w:bCs/>
                <w:color w:val="000000"/>
                <w:sz w:val="20"/>
                <w:szCs w:val="20"/>
              </w:rPr>
            </w:pPr>
            <w:r w:rsidRPr="002E5315">
              <w:rPr>
                <w:bCs/>
                <w:color w:val="000000"/>
                <w:sz w:val="20"/>
                <w:szCs w:val="20"/>
              </w:rPr>
              <w:t>Državna tijela</w:t>
            </w:r>
          </w:p>
        </w:tc>
        <w:tc>
          <w:tcPr>
            <w:tcW w:w="2504" w:type="dxa"/>
            <w:tcBorders>
              <w:left w:val="nil"/>
              <w:right w:val="nil"/>
            </w:tcBorders>
            <w:shd w:val="clear" w:color="auto" w:fill="D9E2F3" w:themeFill="accent1" w:themeFillTint="33"/>
            <w:noWrap/>
            <w:vAlign w:val="center"/>
            <w:hideMark/>
          </w:tcPr>
          <w:p w14:paraId="7185CB73" w14:textId="77777777" w:rsidR="007670C3" w:rsidRPr="002E5315" w:rsidRDefault="007670C3" w:rsidP="005307B5">
            <w:pPr>
              <w:rPr>
                <w:rFonts w:cs="Calibri"/>
                <w:color w:val="000000"/>
                <w:sz w:val="20"/>
                <w:szCs w:val="20"/>
              </w:rPr>
            </w:pPr>
            <w:r w:rsidRPr="002E5315">
              <w:rPr>
                <w:rFonts w:cs="Calibri"/>
                <w:color w:val="000000"/>
                <w:sz w:val="20"/>
                <w:szCs w:val="20"/>
              </w:rPr>
              <w:t>44,00 kn</w:t>
            </w:r>
          </w:p>
        </w:tc>
        <w:tc>
          <w:tcPr>
            <w:tcW w:w="2442" w:type="dxa"/>
            <w:tcBorders>
              <w:left w:val="nil"/>
              <w:right w:val="nil"/>
            </w:tcBorders>
            <w:shd w:val="clear" w:color="auto" w:fill="D9E2F3" w:themeFill="accent1" w:themeFillTint="33"/>
            <w:noWrap/>
            <w:vAlign w:val="center"/>
            <w:hideMark/>
          </w:tcPr>
          <w:p w14:paraId="34DAF7D5"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13DA80D4" w14:textId="77777777" w:rsidTr="005307B5">
        <w:trPr>
          <w:trHeight w:val="255"/>
          <w:jc w:val="center"/>
        </w:trPr>
        <w:tc>
          <w:tcPr>
            <w:tcW w:w="4193" w:type="dxa"/>
            <w:shd w:val="clear" w:color="auto" w:fill="auto"/>
            <w:vAlign w:val="center"/>
            <w:hideMark/>
          </w:tcPr>
          <w:p w14:paraId="11C96B6A" w14:textId="77777777" w:rsidR="007670C3" w:rsidRPr="002E5315" w:rsidRDefault="007670C3" w:rsidP="005307B5">
            <w:pPr>
              <w:rPr>
                <w:b/>
                <w:bCs/>
                <w:color w:val="000000"/>
                <w:sz w:val="20"/>
                <w:szCs w:val="20"/>
              </w:rPr>
            </w:pPr>
            <w:r w:rsidRPr="002E5315">
              <w:rPr>
                <w:bCs/>
                <w:color w:val="000000"/>
                <w:sz w:val="20"/>
                <w:szCs w:val="20"/>
              </w:rPr>
              <w:t>Tijela državne uprave</w:t>
            </w:r>
          </w:p>
        </w:tc>
        <w:tc>
          <w:tcPr>
            <w:tcW w:w="2504" w:type="dxa"/>
            <w:shd w:val="clear" w:color="auto" w:fill="auto"/>
            <w:noWrap/>
            <w:vAlign w:val="center"/>
            <w:hideMark/>
          </w:tcPr>
          <w:p w14:paraId="772A7BE0"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c>
          <w:tcPr>
            <w:tcW w:w="2442" w:type="dxa"/>
            <w:shd w:val="clear" w:color="auto" w:fill="auto"/>
            <w:noWrap/>
            <w:vAlign w:val="center"/>
            <w:hideMark/>
          </w:tcPr>
          <w:p w14:paraId="33DF2D52"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2DA7F1CE" w14:textId="77777777" w:rsidTr="00756407">
        <w:trPr>
          <w:trHeight w:val="255"/>
          <w:jc w:val="center"/>
        </w:trPr>
        <w:tc>
          <w:tcPr>
            <w:tcW w:w="4193" w:type="dxa"/>
            <w:tcBorders>
              <w:left w:val="nil"/>
              <w:right w:val="nil"/>
            </w:tcBorders>
            <w:shd w:val="clear" w:color="auto" w:fill="D9E2F3" w:themeFill="accent1" w:themeFillTint="33"/>
            <w:vAlign w:val="center"/>
            <w:hideMark/>
          </w:tcPr>
          <w:p w14:paraId="408CF6EB" w14:textId="77777777" w:rsidR="007670C3" w:rsidRPr="002E5315" w:rsidRDefault="007670C3" w:rsidP="005307B5">
            <w:pPr>
              <w:rPr>
                <w:b/>
                <w:bCs/>
                <w:color w:val="000000"/>
                <w:sz w:val="20"/>
                <w:szCs w:val="20"/>
              </w:rPr>
            </w:pPr>
            <w:r w:rsidRPr="002E5315">
              <w:rPr>
                <w:bCs/>
                <w:color w:val="000000"/>
                <w:sz w:val="20"/>
                <w:szCs w:val="20"/>
              </w:rPr>
              <w:t>JLP(R)S</w:t>
            </w:r>
          </w:p>
        </w:tc>
        <w:tc>
          <w:tcPr>
            <w:tcW w:w="2504" w:type="dxa"/>
            <w:tcBorders>
              <w:left w:val="nil"/>
              <w:right w:val="nil"/>
            </w:tcBorders>
            <w:shd w:val="clear" w:color="auto" w:fill="D9E2F3" w:themeFill="accent1" w:themeFillTint="33"/>
            <w:noWrap/>
            <w:vAlign w:val="center"/>
            <w:hideMark/>
          </w:tcPr>
          <w:p w14:paraId="7AE96E28" w14:textId="77777777" w:rsidR="007670C3" w:rsidRPr="002E5315" w:rsidRDefault="007670C3" w:rsidP="005307B5">
            <w:pPr>
              <w:rPr>
                <w:rFonts w:cs="Calibri"/>
                <w:color w:val="000000"/>
                <w:sz w:val="20"/>
                <w:szCs w:val="20"/>
              </w:rPr>
            </w:pPr>
            <w:r w:rsidRPr="002E5315">
              <w:rPr>
                <w:rFonts w:cs="Calibri"/>
                <w:color w:val="000000"/>
                <w:sz w:val="20"/>
                <w:szCs w:val="20"/>
              </w:rPr>
              <w:t>1951,71 kn</w:t>
            </w:r>
          </w:p>
        </w:tc>
        <w:tc>
          <w:tcPr>
            <w:tcW w:w="2442" w:type="dxa"/>
            <w:tcBorders>
              <w:left w:val="nil"/>
              <w:right w:val="nil"/>
            </w:tcBorders>
            <w:shd w:val="clear" w:color="auto" w:fill="D9E2F3" w:themeFill="accent1" w:themeFillTint="33"/>
            <w:noWrap/>
            <w:vAlign w:val="center"/>
            <w:hideMark/>
          </w:tcPr>
          <w:p w14:paraId="6833FE19"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6AE6425B" w14:textId="77777777" w:rsidTr="005307B5">
        <w:trPr>
          <w:trHeight w:val="231"/>
          <w:jc w:val="center"/>
        </w:trPr>
        <w:tc>
          <w:tcPr>
            <w:tcW w:w="4193" w:type="dxa"/>
            <w:shd w:val="clear" w:color="auto" w:fill="auto"/>
            <w:vAlign w:val="center"/>
            <w:hideMark/>
          </w:tcPr>
          <w:p w14:paraId="1EF434D2" w14:textId="77777777" w:rsidR="007670C3" w:rsidRPr="002E5315" w:rsidRDefault="007670C3" w:rsidP="005307B5">
            <w:pPr>
              <w:rPr>
                <w:b/>
                <w:bCs/>
                <w:color w:val="000000"/>
                <w:sz w:val="20"/>
                <w:szCs w:val="20"/>
              </w:rPr>
            </w:pPr>
            <w:r w:rsidRPr="002E5315">
              <w:rPr>
                <w:bCs/>
                <w:color w:val="000000"/>
                <w:sz w:val="20"/>
                <w:szCs w:val="20"/>
              </w:rPr>
              <w:t>Sudovi i pravosudna tijela</w:t>
            </w:r>
          </w:p>
        </w:tc>
        <w:tc>
          <w:tcPr>
            <w:tcW w:w="2504" w:type="dxa"/>
            <w:shd w:val="clear" w:color="auto" w:fill="auto"/>
            <w:noWrap/>
            <w:vAlign w:val="center"/>
            <w:hideMark/>
          </w:tcPr>
          <w:p w14:paraId="199B0C9F"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c>
          <w:tcPr>
            <w:tcW w:w="2442" w:type="dxa"/>
            <w:shd w:val="clear" w:color="auto" w:fill="auto"/>
            <w:noWrap/>
            <w:vAlign w:val="center"/>
            <w:hideMark/>
          </w:tcPr>
          <w:p w14:paraId="6C3FE94E"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49C605FE" w14:textId="77777777" w:rsidTr="00756407">
        <w:trPr>
          <w:trHeight w:val="255"/>
          <w:jc w:val="center"/>
        </w:trPr>
        <w:tc>
          <w:tcPr>
            <w:tcW w:w="4193" w:type="dxa"/>
            <w:tcBorders>
              <w:left w:val="nil"/>
              <w:right w:val="nil"/>
            </w:tcBorders>
            <w:shd w:val="clear" w:color="auto" w:fill="D9E2F3" w:themeFill="accent1" w:themeFillTint="33"/>
            <w:vAlign w:val="center"/>
            <w:hideMark/>
          </w:tcPr>
          <w:p w14:paraId="1E8C81FD" w14:textId="77777777" w:rsidR="007670C3" w:rsidRPr="002E5315" w:rsidRDefault="007670C3" w:rsidP="005307B5">
            <w:pPr>
              <w:rPr>
                <w:sz w:val="20"/>
                <w:szCs w:val="20"/>
              </w:rPr>
            </w:pPr>
            <w:r w:rsidRPr="002E5315">
              <w:rPr>
                <w:rFonts w:cs="Calibri"/>
                <w:color w:val="000000"/>
                <w:sz w:val="20"/>
                <w:szCs w:val="20"/>
              </w:rPr>
              <w:t xml:space="preserve">Agencije i druge pravne osobe s </w:t>
            </w:r>
            <w:r w:rsidRPr="002E5315">
              <w:rPr>
                <w:rFonts w:cs="Calibri"/>
                <w:sz w:val="20"/>
                <w:szCs w:val="20"/>
              </w:rPr>
              <w:t xml:space="preserve">javnim ovlastima </w:t>
            </w:r>
          </w:p>
        </w:tc>
        <w:tc>
          <w:tcPr>
            <w:tcW w:w="2504" w:type="dxa"/>
            <w:tcBorders>
              <w:left w:val="nil"/>
              <w:right w:val="nil"/>
            </w:tcBorders>
            <w:shd w:val="clear" w:color="auto" w:fill="D9E2F3" w:themeFill="accent1" w:themeFillTint="33"/>
            <w:noWrap/>
            <w:vAlign w:val="center"/>
            <w:hideMark/>
          </w:tcPr>
          <w:p w14:paraId="0F63942A" w14:textId="77777777" w:rsidR="007670C3" w:rsidRPr="002E5315" w:rsidRDefault="007670C3" w:rsidP="005307B5">
            <w:pPr>
              <w:rPr>
                <w:rFonts w:cs="Calibri"/>
                <w:color w:val="000000"/>
                <w:sz w:val="20"/>
                <w:szCs w:val="20"/>
              </w:rPr>
            </w:pPr>
            <w:r w:rsidRPr="002E5315">
              <w:rPr>
                <w:rFonts w:cs="Calibri"/>
                <w:color w:val="000000"/>
                <w:sz w:val="20"/>
                <w:szCs w:val="20"/>
              </w:rPr>
              <w:t>531,00 kn</w:t>
            </w:r>
          </w:p>
        </w:tc>
        <w:tc>
          <w:tcPr>
            <w:tcW w:w="2442" w:type="dxa"/>
            <w:tcBorders>
              <w:left w:val="nil"/>
              <w:right w:val="nil"/>
            </w:tcBorders>
            <w:shd w:val="clear" w:color="auto" w:fill="D9E2F3" w:themeFill="accent1" w:themeFillTint="33"/>
            <w:noWrap/>
            <w:vAlign w:val="center"/>
            <w:hideMark/>
          </w:tcPr>
          <w:p w14:paraId="7A37CD25"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6097F13F" w14:textId="77777777" w:rsidTr="005307B5">
        <w:trPr>
          <w:trHeight w:val="255"/>
          <w:jc w:val="center"/>
        </w:trPr>
        <w:tc>
          <w:tcPr>
            <w:tcW w:w="4193" w:type="dxa"/>
            <w:shd w:val="clear" w:color="auto" w:fill="auto"/>
            <w:vAlign w:val="center"/>
            <w:hideMark/>
          </w:tcPr>
          <w:p w14:paraId="4CE0BD5C" w14:textId="77777777" w:rsidR="007670C3" w:rsidRPr="002E5315" w:rsidRDefault="007670C3" w:rsidP="005307B5">
            <w:pPr>
              <w:rPr>
                <w:b/>
                <w:bCs/>
                <w:color w:val="000000"/>
                <w:sz w:val="20"/>
                <w:szCs w:val="20"/>
              </w:rPr>
            </w:pPr>
            <w:r w:rsidRPr="002E5315">
              <w:rPr>
                <w:bCs/>
                <w:color w:val="000000"/>
                <w:sz w:val="20"/>
                <w:szCs w:val="20"/>
              </w:rPr>
              <w:t>Ustanove</w:t>
            </w:r>
          </w:p>
        </w:tc>
        <w:tc>
          <w:tcPr>
            <w:tcW w:w="2504" w:type="dxa"/>
            <w:shd w:val="clear" w:color="auto" w:fill="auto"/>
            <w:noWrap/>
            <w:vAlign w:val="center"/>
            <w:hideMark/>
          </w:tcPr>
          <w:p w14:paraId="64CD5553" w14:textId="77777777" w:rsidR="007670C3" w:rsidRPr="002E5315" w:rsidRDefault="007670C3" w:rsidP="005307B5">
            <w:pPr>
              <w:rPr>
                <w:rFonts w:cs="Calibri"/>
                <w:color w:val="000000"/>
                <w:sz w:val="20"/>
                <w:szCs w:val="20"/>
              </w:rPr>
            </w:pPr>
            <w:r w:rsidRPr="002E5315">
              <w:rPr>
                <w:rFonts w:cs="Calibri"/>
                <w:color w:val="000000"/>
                <w:sz w:val="20"/>
                <w:szCs w:val="20"/>
              </w:rPr>
              <w:t>2048,00 kn</w:t>
            </w:r>
          </w:p>
        </w:tc>
        <w:tc>
          <w:tcPr>
            <w:tcW w:w="2442" w:type="dxa"/>
            <w:shd w:val="clear" w:color="auto" w:fill="auto"/>
            <w:noWrap/>
            <w:vAlign w:val="center"/>
            <w:hideMark/>
          </w:tcPr>
          <w:p w14:paraId="344F485D"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0173BD7B" w14:textId="77777777" w:rsidTr="00756407">
        <w:trPr>
          <w:trHeight w:val="255"/>
          <w:jc w:val="center"/>
        </w:trPr>
        <w:tc>
          <w:tcPr>
            <w:tcW w:w="4193" w:type="dxa"/>
            <w:tcBorders>
              <w:left w:val="nil"/>
              <w:right w:val="nil"/>
            </w:tcBorders>
            <w:shd w:val="clear" w:color="auto" w:fill="D9E2F3" w:themeFill="accent1" w:themeFillTint="33"/>
            <w:vAlign w:val="center"/>
            <w:hideMark/>
          </w:tcPr>
          <w:p w14:paraId="400EF972" w14:textId="77777777" w:rsidR="007670C3" w:rsidRPr="002E5315" w:rsidRDefault="007670C3" w:rsidP="005307B5">
            <w:pPr>
              <w:rPr>
                <w:b/>
                <w:bCs/>
                <w:color w:val="000000"/>
                <w:sz w:val="20"/>
                <w:szCs w:val="20"/>
              </w:rPr>
            </w:pPr>
            <w:r w:rsidRPr="002E5315">
              <w:rPr>
                <w:bCs/>
                <w:color w:val="000000"/>
                <w:sz w:val="20"/>
                <w:szCs w:val="20"/>
              </w:rPr>
              <w:t>Trgovačka društva</w:t>
            </w:r>
          </w:p>
        </w:tc>
        <w:tc>
          <w:tcPr>
            <w:tcW w:w="2504" w:type="dxa"/>
            <w:tcBorders>
              <w:left w:val="nil"/>
              <w:right w:val="nil"/>
            </w:tcBorders>
            <w:shd w:val="clear" w:color="auto" w:fill="D9E2F3" w:themeFill="accent1" w:themeFillTint="33"/>
            <w:noWrap/>
            <w:vAlign w:val="center"/>
            <w:hideMark/>
          </w:tcPr>
          <w:p w14:paraId="1984520C" w14:textId="77777777" w:rsidR="007670C3" w:rsidRPr="002E5315" w:rsidRDefault="007670C3" w:rsidP="005307B5">
            <w:pPr>
              <w:rPr>
                <w:rFonts w:cs="Calibri"/>
                <w:color w:val="000000"/>
                <w:sz w:val="20"/>
                <w:szCs w:val="20"/>
              </w:rPr>
            </w:pPr>
            <w:r w:rsidRPr="002E5315">
              <w:rPr>
                <w:rFonts w:cs="Calibri"/>
                <w:color w:val="000000"/>
                <w:sz w:val="20"/>
                <w:szCs w:val="20"/>
              </w:rPr>
              <w:t>921,95 kn</w:t>
            </w:r>
          </w:p>
        </w:tc>
        <w:tc>
          <w:tcPr>
            <w:tcW w:w="2442" w:type="dxa"/>
            <w:tcBorders>
              <w:left w:val="nil"/>
              <w:right w:val="nil"/>
            </w:tcBorders>
            <w:shd w:val="clear" w:color="auto" w:fill="D9E2F3" w:themeFill="accent1" w:themeFillTint="33"/>
            <w:noWrap/>
            <w:vAlign w:val="center"/>
            <w:hideMark/>
          </w:tcPr>
          <w:p w14:paraId="044C62B7"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4A000946" w14:textId="77777777" w:rsidTr="005307B5">
        <w:trPr>
          <w:trHeight w:val="255"/>
          <w:jc w:val="center"/>
        </w:trPr>
        <w:tc>
          <w:tcPr>
            <w:tcW w:w="4193" w:type="dxa"/>
            <w:shd w:val="clear" w:color="auto" w:fill="auto"/>
            <w:vAlign w:val="center"/>
            <w:hideMark/>
          </w:tcPr>
          <w:p w14:paraId="5038D799" w14:textId="77777777" w:rsidR="007670C3" w:rsidRPr="002E5315" w:rsidRDefault="007670C3" w:rsidP="005307B5">
            <w:pPr>
              <w:rPr>
                <w:b/>
                <w:bCs/>
                <w:color w:val="000000"/>
                <w:sz w:val="20"/>
                <w:szCs w:val="20"/>
              </w:rPr>
            </w:pPr>
            <w:r w:rsidRPr="002E5315">
              <w:rPr>
                <w:bCs/>
                <w:color w:val="000000"/>
                <w:sz w:val="20"/>
                <w:szCs w:val="20"/>
              </w:rPr>
              <w:t>Udruge</w:t>
            </w:r>
          </w:p>
        </w:tc>
        <w:tc>
          <w:tcPr>
            <w:tcW w:w="2504" w:type="dxa"/>
            <w:shd w:val="clear" w:color="auto" w:fill="auto"/>
            <w:noWrap/>
            <w:vAlign w:val="center"/>
            <w:hideMark/>
          </w:tcPr>
          <w:p w14:paraId="2FB3E01A"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c>
          <w:tcPr>
            <w:tcW w:w="2442" w:type="dxa"/>
            <w:shd w:val="clear" w:color="auto" w:fill="auto"/>
            <w:noWrap/>
            <w:vAlign w:val="center"/>
            <w:hideMark/>
          </w:tcPr>
          <w:p w14:paraId="22A90A62"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0C157C90" w14:textId="77777777" w:rsidTr="00756407">
        <w:trPr>
          <w:trHeight w:val="255"/>
          <w:jc w:val="center"/>
        </w:trPr>
        <w:tc>
          <w:tcPr>
            <w:tcW w:w="4193" w:type="dxa"/>
            <w:tcBorders>
              <w:left w:val="nil"/>
              <w:right w:val="nil"/>
            </w:tcBorders>
            <w:shd w:val="clear" w:color="auto" w:fill="D9E2F3" w:themeFill="accent1" w:themeFillTint="33"/>
            <w:vAlign w:val="center"/>
            <w:hideMark/>
          </w:tcPr>
          <w:p w14:paraId="7E709AB1" w14:textId="77777777" w:rsidR="007670C3" w:rsidRPr="002E5315" w:rsidRDefault="007670C3" w:rsidP="005307B5">
            <w:pPr>
              <w:rPr>
                <w:b/>
                <w:bCs/>
                <w:color w:val="000000"/>
                <w:sz w:val="20"/>
                <w:szCs w:val="20"/>
              </w:rPr>
            </w:pPr>
            <w:r w:rsidRPr="002E5315">
              <w:rPr>
                <w:bCs/>
                <w:color w:val="000000"/>
                <w:sz w:val="20"/>
                <w:szCs w:val="20"/>
              </w:rPr>
              <w:t>Ostale pravne osobe i tijela s javnim ovlastima</w:t>
            </w:r>
          </w:p>
        </w:tc>
        <w:tc>
          <w:tcPr>
            <w:tcW w:w="2504" w:type="dxa"/>
            <w:tcBorders>
              <w:left w:val="nil"/>
              <w:right w:val="nil"/>
            </w:tcBorders>
            <w:shd w:val="clear" w:color="auto" w:fill="D9E2F3" w:themeFill="accent1" w:themeFillTint="33"/>
            <w:noWrap/>
            <w:vAlign w:val="center"/>
            <w:hideMark/>
          </w:tcPr>
          <w:p w14:paraId="40EB7774" w14:textId="77777777" w:rsidR="007670C3" w:rsidRPr="002E5315" w:rsidRDefault="007670C3" w:rsidP="005307B5">
            <w:pPr>
              <w:rPr>
                <w:rFonts w:cs="Calibri"/>
                <w:color w:val="000000"/>
                <w:sz w:val="20"/>
                <w:szCs w:val="20"/>
              </w:rPr>
            </w:pPr>
            <w:r w:rsidRPr="002E5315">
              <w:rPr>
                <w:rFonts w:cs="Calibri"/>
                <w:color w:val="000000"/>
                <w:sz w:val="20"/>
                <w:szCs w:val="20"/>
              </w:rPr>
              <w:t>280,00 kn</w:t>
            </w:r>
          </w:p>
        </w:tc>
        <w:tc>
          <w:tcPr>
            <w:tcW w:w="2442" w:type="dxa"/>
            <w:tcBorders>
              <w:left w:val="nil"/>
              <w:right w:val="nil"/>
            </w:tcBorders>
            <w:shd w:val="clear" w:color="auto" w:fill="D9E2F3" w:themeFill="accent1" w:themeFillTint="33"/>
            <w:noWrap/>
            <w:vAlign w:val="center"/>
            <w:hideMark/>
          </w:tcPr>
          <w:p w14:paraId="2452806C" w14:textId="77777777" w:rsidR="007670C3" w:rsidRPr="002E5315" w:rsidRDefault="007670C3" w:rsidP="005307B5">
            <w:pPr>
              <w:rPr>
                <w:rFonts w:cs="Calibri"/>
                <w:color w:val="000000"/>
                <w:sz w:val="20"/>
                <w:szCs w:val="20"/>
              </w:rPr>
            </w:pPr>
            <w:r w:rsidRPr="002E5315">
              <w:rPr>
                <w:rFonts w:cs="Calibri"/>
                <w:color w:val="000000"/>
                <w:sz w:val="20"/>
                <w:szCs w:val="20"/>
              </w:rPr>
              <w:t>0,00 kn</w:t>
            </w:r>
          </w:p>
        </w:tc>
      </w:tr>
      <w:tr w:rsidR="007670C3" w:rsidRPr="002E5315" w14:paraId="49035DA9" w14:textId="77777777" w:rsidTr="005307B5">
        <w:trPr>
          <w:trHeight w:val="255"/>
          <w:jc w:val="center"/>
        </w:trPr>
        <w:tc>
          <w:tcPr>
            <w:tcW w:w="4193" w:type="dxa"/>
            <w:shd w:val="clear" w:color="auto" w:fill="auto"/>
            <w:vAlign w:val="center"/>
            <w:hideMark/>
          </w:tcPr>
          <w:p w14:paraId="2F58652C" w14:textId="77777777" w:rsidR="007670C3" w:rsidRPr="002E5315" w:rsidRDefault="007670C3" w:rsidP="005307B5">
            <w:pPr>
              <w:rPr>
                <w:b/>
                <w:bCs/>
                <w:color w:val="000000"/>
                <w:sz w:val="20"/>
                <w:szCs w:val="20"/>
              </w:rPr>
            </w:pPr>
            <w:r w:rsidRPr="002E5315">
              <w:rPr>
                <w:b/>
                <w:color w:val="000000"/>
                <w:sz w:val="20"/>
                <w:szCs w:val="20"/>
              </w:rPr>
              <w:t>Ukupno</w:t>
            </w:r>
          </w:p>
        </w:tc>
        <w:tc>
          <w:tcPr>
            <w:tcW w:w="2504" w:type="dxa"/>
            <w:shd w:val="clear" w:color="auto" w:fill="auto"/>
            <w:noWrap/>
            <w:vAlign w:val="center"/>
            <w:hideMark/>
          </w:tcPr>
          <w:p w14:paraId="6D2E200C" w14:textId="77777777" w:rsidR="007670C3" w:rsidRPr="002E5315" w:rsidRDefault="007670C3" w:rsidP="005307B5">
            <w:pPr>
              <w:rPr>
                <w:rFonts w:cs="Calibri"/>
                <w:b/>
                <w:bCs/>
                <w:color w:val="000000"/>
                <w:sz w:val="20"/>
                <w:szCs w:val="20"/>
              </w:rPr>
            </w:pPr>
            <w:r w:rsidRPr="002E5315">
              <w:rPr>
                <w:rFonts w:cs="Calibri"/>
                <w:b/>
                <w:bCs/>
                <w:color w:val="000000"/>
                <w:sz w:val="20"/>
                <w:szCs w:val="20"/>
              </w:rPr>
              <w:t>5776,66 kn</w:t>
            </w:r>
          </w:p>
        </w:tc>
        <w:tc>
          <w:tcPr>
            <w:tcW w:w="2442" w:type="dxa"/>
            <w:shd w:val="clear" w:color="auto" w:fill="auto"/>
            <w:noWrap/>
            <w:vAlign w:val="center"/>
            <w:hideMark/>
          </w:tcPr>
          <w:p w14:paraId="1D906F1D" w14:textId="77777777" w:rsidR="007670C3" w:rsidRPr="002E5315" w:rsidRDefault="007670C3" w:rsidP="005307B5">
            <w:pPr>
              <w:rPr>
                <w:rFonts w:cs="Calibri"/>
                <w:b/>
                <w:bCs/>
                <w:color w:val="000000"/>
                <w:sz w:val="20"/>
                <w:szCs w:val="20"/>
              </w:rPr>
            </w:pPr>
            <w:r w:rsidRPr="002E5315">
              <w:rPr>
                <w:rFonts w:cs="Calibri"/>
                <w:b/>
                <w:bCs/>
                <w:color w:val="000000"/>
                <w:sz w:val="20"/>
                <w:szCs w:val="20"/>
              </w:rPr>
              <w:t>0,00 kn</w:t>
            </w:r>
          </w:p>
        </w:tc>
      </w:tr>
      <w:tr w:rsidR="007670C3" w:rsidRPr="002E5315" w14:paraId="49DFF081" w14:textId="77777777" w:rsidTr="005307B5">
        <w:trPr>
          <w:trHeight w:val="255"/>
          <w:jc w:val="center"/>
        </w:trPr>
        <w:tc>
          <w:tcPr>
            <w:tcW w:w="4193" w:type="dxa"/>
            <w:shd w:val="clear" w:color="auto" w:fill="auto"/>
            <w:vAlign w:val="center"/>
            <w:hideMark/>
          </w:tcPr>
          <w:p w14:paraId="212D0A17" w14:textId="77777777" w:rsidR="007670C3" w:rsidRPr="002E5315" w:rsidRDefault="007670C3" w:rsidP="005307B5">
            <w:pPr>
              <w:rPr>
                <w:b/>
                <w:color w:val="000000"/>
                <w:sz w:val="20"/>
                <w:szCs w:val="20"/>
              </w:rPr>
            </w:pPr>
            <w:r w:rsidRPr="002E5315">
              <w:rPr>
                <w:b/>
                <w:color w:val="000000"/>
                <w:sz w:val="20"/>
                <w:szCs w:val="20"/>
              </w:rPr>
              <w:t>Broj tijela koja su naplatila trošak</w:t>
            </w:r>
          </w:p>
        </w:tc>
        <w:tc>
          <w:tcPr>
            <w:tcW w:w="2504" w:type="dxa"/>
            <w:shd w:val="clear" w:color="auto" w:fill="auto"/>
            <w:noWrap/>
            <w:vAlign w:val="center"/>
            <w:hideMark/>
          </w:tcPr>
          <w:p w14:paraId="57E8EB32" w14:textId="77777777" w:rsidR="007670C3" w:rsidRPr="002E5315" w:rsidRDefault="007670C3" w:rsidP="005307B5">
            <w:pPr>
              <w:rPr>
                <w:rFonts w:cs="Calibri"/>
                <w:b/>
                <w:bCs/>
                <w:color w:val="000000"/>
                <w:sz w:val="20"/>
                <w:szCs w:val="20"/>
              </w:rPr>
            </w:pPr>
            <w:r w:rsidRPr="002E5315">
              <w:rPr>
                <w:rFonts w:cs="Calibri"/>
                <w:b/>
                <w:bCs/>
                <w:color w:val="000000"/>
                <w:sz w:val="20"/>
                <w:szCs w:val="20"/>
              </w:rPr>
              <w:t>33</w:t>
            </w:r>
          </w:p>
        </w:tc>
        <w:tc>
          <w:tcPr>
            <w:tcW w:w="2442" w:type="dxa"/>
            <w:shd w:val="clear" w:color="auto" w:fill="auto"/>
            <w:noWrap/>
            <w:vAlign w:val="center"/>
            <w:hideMark/>
          </w:tcPr>
          <w:p w14:paraId="1D93CB03" w14:textId="77777777" w:rsidR="007670C3" w:rsidRPr="002E5315" w:rsidRDefault="007670C3" w:rsidP="005307B5">
            <w:pPr>
              <w:rPr>
                <w:rFonts w:cs="Calibri"/>
                <w:b/>
                <w:bCs/>
                <w:color w:val="000000"/>
                <w:sz w:val="20"/>
                <w:szCs w:val="20"/>
              </w:rPr>
            </w:pPr>
            <w:r w:rsidRPr="002E5315">
              <w:rPr>
                <w:rFonts w:cs="Calibri"/>
                <w:b/>
                <w:bCs/>
                <w:color w:val="000000"/>
                <w:sz w:val="20"/>
                <w:szCs w:val="20"/>
              </w:rPr>
              <w:t>0</w:t>
            </w:r>
          </w:p>
        </w:tc>
      </w:tr>
    </w:tbl>
    <w:p w14:paraId="36654663" w14:textId="17A747CE" w:rsidR="005307B5" w:rsidRPr="002E5315" w:rsidRDefault="005307B5" w:rsidP="00276C0B">
      <w:pPr>
        <w:pStyle w:val="Naslov1"/>
      </w:pPr>
      <w:bookmarkStart w:id="14" w:name="_Toc36308920"/>
      <w:r w:rsidRPr="002E5315">
        <w:t>Žalbeni postupak</w:t>
      </w:r>
      <w:bookmarkEnd w:id="14"/>
      <w:r w:rsidRPr="002E5315">
        <w:t xml:space="preserve"> </w:t>
      </w:r>
    </w:p>
    <w:p w14:paraId="664A0DD8" w14:textId="5308F896" w:rsidR="005307B5" w:rsidRPr="002E5315" w:rsidRDefault="005307B5" w:rsidP="00276C0B">
      <w:pPr>
        <w:pStyle w:val="Naslov2"/>
      </w:pPr>
      <w:bookmarkStart w:id="15" w:name="_Toc36308921"/>
      <w:r w:rsidRPr="002E5315">
        <w:t>Broj i struktura žalbi</w:t>
      </w:r>
      <w:bookmarkEnd w:id="15"/>
    </w:p>
    <w:p w14:paraId="236C174C" w14:textId="77777777" w:rsidR="00633D93" w:rsidRDefault="005823CA" w:rsidP="005823CA">
      <w:pPr>
        <w:shd w:val="clear" w:color="auto" w:fill="FFFFFF" w:themeFill="background1"/>
        <w:rPr>
          <w:rFonts w:cstheme="minorBidi"/>
          <w:szCs w:val="23"/>
        </w:rPr>
      </w:pPr>
      <w:r w:rsidRPr="002E5315">
        <w:rPr>
          <w:rFonts w:cstheme="minorBidi"/>
          <w:szCs w:val="23"/>
        </w:rPr>
        <w:t>Mogućnost izjavljivanja žalbe Povjereniku kao neovisnom tijelu je međunarodni standard, koji je uređen ZPPI-jem. ZPPI daje svakoj domaćoj ili stranoj fizičkoj ili pravnoj osobi, kao korisniku prava na pristup ili ponovnu uporabu informacija, pravo na izjavljivanje žalbe Povjereniku. Povjereniku se žalba može izjaviti u slučaju kada tijelo javne vlasti od kojega je zatražena informacija donese rješenje o odbijanju ili odbacivanju zahtjeva te u slučaju kada ne riješi zahtjev u roku od 15 dana, odnosno u roku od 30 dana ako je tijelo javne vlasti u ZPPI-ju</w:t>
      </w:r>
      <w:r w:rsidR="00954DB8" w:rsidRPr="002E5315">
        <w:rPr>
          <w:rFonts w:cstheme="minorBidi"/>
          <w:szCs w:val="23"/>
        </w:rPr>
        <w:t xml:space="preserve"> </w:t>
      </w:r>
      <w:r w:rsidRPr="002E5315">
        <w:rPr>
          <w:rFonts w:cstheme="minorBidi"/>
          <w:szCs w:val="23"/>
        </w:rPr>
        <w:t>propisanim slučajevima</w:t>
      </w:r>
      <w:r w:rsidR="00954DB8" w:rsidRPr="002E5315">
        <w:rPr>
          <w:rFonts w:cstheme="minorBidi"/>
          <w:szCs w:val="23"/>
        </w:rPr>
        <w:t xml:space="preserve"> </w:t>
      </w:r>
      <w:r w:rsidRPr="002E5315">
        <w:rPr>
          <w:rFonts w:cstheme="minorBidi"/>
          <w:szCs w:val="23"/>
        </w:rPr>
        <w:t>produžilo rok za rješavanje zahtjeva (tzv. šutnja uprave)</w:t>
      </w:r>
      <w:r w:rsidR="00633D93">
        <w:rPr>
          <w:rFonts w:cstheme="minorBidi"/>
          <w:szCs w:val="23"/>
        </w:rPr>
        <w:t>.</w:t>
      </w:r>
    </w:p>
    <w:p w14:paraId="3734056F" w14:textId="6984B6F7" w:rsidR="005307B5" w:rsidRPr="002E5315" w:rsidRDefault="005823CA" w:rsidP="005823CA">
      <w:pPr>
        <w:shd w:val="clear" w:color="auto" w:fill="FFFFFF" w:themeFill="background1"/>
        <w:rPr>
          <w:rFonts w:cstheme="minorHAnsi"/>
          <w:szCs w:val="23"/>
        </w:rPr>
      </w:pPr>
      <w:r w:rsidRPr="002E5315">
        <w:rPr>
          <w:rFonts w:cstheme="minorBidi"/>
          <w:szCs w:val="23"/>
        </w:rPr>
        <w:t>U nastavku se daje prikaz podataka o žalbama pred Povjerenikom, izjavljenima u odnosu na zahtjeve za pristup i zahtjeve za ponovnu uporabu informacija te nisu obuhvaćene žalbe izjavljene putem prvostupanjskog tijela, koje je ono samo riješilo primjenom članka 113. ZUP-a (odbacilo žalbu korisnika kao nepravovremenu, nedopuštenu i izjavljenu od neovlaštene osobe ili promijenilo odluku). Prema podacima iz dostavljenih izvješća, tijela su izvijestila da su u 103 slučaja sami riješili žalbu i to na način da je u 60 slučajeva žalba usvojena, a u 43 odbačena</w:t>
      </w:r>
      <w:r w:rsidR="005307B5" w:rsidRPr="002E5315">
        <w:rPr>
          <w:rFonts w:cstheme="minorHAnsi"/>
          <w:szCs w:val="23"/>
        </w:rPr>
        <w:t>.</w:t>
      </w:r>
    </w:p>
    <w:p w14:paraId="61C15448" w14:textId="2FEB12FC" w:rsidR="005307B5" w:rsidRPr="002E5315" w:rsidRDefault="005307B5" w:rsidP="00276C0B">
      <w:pPr>
        <w:pStyle w:val="Naslov3"/>
      </w:pPr>
      <w:bookmarkStart w:id="16" w:name="_Toc4420857"/>
      <w:bookmarkStart w:id="17" w:name="_Toc36308922"/>
      <w:r w:rsidRPr="002E5315">
        <w:t>Broj žalbi</w:t>
      </w:r>
      <w:bookmarkEnd w:id="16"/>
      <w:bookmarkEnd w:id="17"/>
    </w:p>
    <w:p w14:paraId="4C0AE80D" w14:textId="77777777" w:rsidR="00633D93" w:rsidRDefault="005823CA" w:rsidP="005823CA">
      <w:pPr>
        <w:shd w:val="clear" w:color="auto" w:fill="FFFFFF" w:themeFill="background1"/>
        <w:rPr>
          <w:rFonts w:cstheme="minorHAnsi"/>
          <w:szCs w:val="23"/>
        </w:rPr>
      </w:pPr>
      <w:r w:rsidRPr="002E5315">
        <w:rPr>
          <w:rFonts w:cstheme="minorHAnsi"/>
          <w:b/>
          <w:szCs w:val="23"/>
        </w:rPr>
        <w:t>Povjerenik</w:t>
      </w:r>
      <w:r w:rsidRPr="002E5315">
        <w:rPr>
          <w:rFonts w:cstheme="minorHAnsi"/>
          <w:szCs w:val="23"/>
        </w:rPr>
        <w:t xml:space="preserve"> je tijekom 2019. ukupno </w:t>
      </w:r>
      <w:r w:rsidRPr="002E5315">
        <w:rPr>
          <w:rFonts w:cstheme="minorHAnsi"/>
          <w:b/>
          <w:szCs w:val="23"/>
        </w:rPr>
        <w:t>zaprimio 814 žalbi</w:t>
      </w:r>
      <w:r w:rsidRPr="002E5315">
        <w:rPr>
          <w:rFonts w:cstheme="minorHAnsi"/>
          <w:szCs w:val="23"/>
        </w:rPr>
        <w:t xml:space="preserve"> (dodatnih</w:t>
      </w:r>
      <w:r w:rsidRPr="002E5315">
        <w:rPr>
          <w:rFonts w:cstheme="minorHAnsi"/>
          <w:bCs/>
          <w:szCs w:val="23"/>
        </w:rPr>
        <w:t xml:space="preserve"> 39 žalbi zaključkom je spojeno u jednu žalbu). </w:t>
      </w:r>
      <w:r w:rsidRPr="002E5315">
        <w:rPr>
          <w:rFonts w:cstheme="minorHAnsi"/>
          <w:szCs w:val="23"/>
        </w:rPr>
        <w:t>Od 814 zaprimljenih žalbi, 810 (99,51%) se odnosi na rješavanje zahtjeva za pristup informacijama, a 4 (0,49%) na rješavanje zahtjeva za ponovnu uporabu informacija</w:t>
      </w:r>
      <w:r w:rsidR="00633D93">
        <w:rPr>
          <w:rFonts w:cstheme="minorHAnsi"/>
          <w:szCs w:val="23"/>
        </w:rPr>
        <w:t>.</w:t>
      </w:r>
    </w:p>
    <w:p w14:paraId="7D6BB56B" w14:textId="77777777" w:rsidR="00633D93" w:rsidRDefault="005823CA" w:rsidP="005823CA">
      <w:pPr>
        <w:shd w:val="clear" w:color="auto" w:fill="FFFFFF" w:themeFill="background1"/>
        <w:rPr>
          <w:rFonts w:cstheme="minorHAnsi"/>
          <w:szCs w:val="23"/>
        </w:rPr>
      </w:pPr>
      <w:r w:rsidRPr="002E5315">
        <w:rPr>
          <w:rFonts w:cstheme="minorHAnsi"/>
          <w:szCs w:val="23"/>
        </w:rPr>
        <w:lastRenderedPageBreak/>
        <w:t xml:space="preserve">Kada se usporede podaci iz prethodnih godina (Tablica 3.1.), vidljivo je da je </w:t>
      </w:r>
      <w:r w:rsidRPr="002E5315">
        <w:rPr>
          <w:rFonts w:cstheme="minorHAnsi"/>
          <w:b/>
          <w:bCs/>
          <w:szCs w:val="23"/>
        </w:rPr>
        <w:t>broj</w:t>
      </w:r>
      <w:r w:rsidRPr="002E5315">
        <w:rPr>
          <w:rFonts w:cstheme="minorHAnsi"/>
          <w:szCs w:val="23"/>
        </w:rPr>
        <w:t xml:space="preserve"> </w:t>
      </w:r>
      <w:r w:rsidRPr="002E5315">
        <w:rPr>
          <w:rFonts w:cstheme="minorHAnsi"/>
          <w:b/>
          <w:szCs w:val="23"/>
        </w:rPr>
        <w:t xml:space="preserve">žalbi u padu u odnosu na 2018. i to za 19,4%, </w:t>
      </w:r>
      <w:r w:rsidRPr="002E5315">
        <w:rPr>
          <w:rFonts w:cstheme="minorHAnsi"/>
          <w:szCs w:val="23"/>
        </w:rPr>
        <w:t>kad ih je bilo zaprimljen</w:t>
      </w:r>
      <w:r w:rsidR="009D445E">
        <w:rPr>
          <w:rFonts w:cstheme="minorHAnsi"/>
          <w:szCs w:val="23"/>
        </w:rPr>
        <w:t>o</w:t>
      </w:r>
      <w:r w:rsidRPr="002E5315">
        <w:rPr>
          <w:rFonts w:cstheme="minorHAnsi"/>
          <w:szCs w:val="23"/>
        </w:rPr>
        <w:t xml:space="preserve"> 1.010, ali je vidljivo da je i dalje veliki broj izjavljenih žalbi u odnosu na razinu iz razdoblja 2014.-2016., kad je godišnje prosječno bilo izjavljeno oko 640 žalbi. Navedeni trend pada izjavljivanja žalbi je u najvećem dijelu rezultat smanjenog broja podnesenih žalbi od strane jednog korisnika koji je tijekom 2019. podnio 125 žalbi, tijekom 2018. </w:t>
      </w:r>
      <w:r w:rsidR="009D445E">
        <w:rPr>
          <w:rFonts w:cstheme="minorHAnsi"/>
          <w:szCs w:val="23"/>
        </w:rPr>
        <w:t>godine</w:t>
      </w:r>
      <w:r w:rsidRPr="002E5315">
        <w:rPr>
          <w:rFonts w:cstheme="minorHAnsi"/>
          <w:szCs w:val="23"/>
        </w:rPr>
        <w:t xml:space="preserve"> 210 te tijekom 2017. 464 žalbe</w:t>
      </w:r>
      <w:r w:rsidR="00633D93">
        <w:rPr>
          <w:rFonts w:cstheme="minorHAnsi"/>
          <w:szCs w:val="23"/>
        </w:rPr>
        <w:t>.</w:t>
      </w:r>
    </w:p>
    <w:p w14:paraId="390FC538" w14:textId="59752079" w:rsidR="005823CA" w:rsidRPr="002E5315" w:rsidRDefault="005823CA" w:rsidP="005823CA">
      <w:pPr>
        <w:shd w:val="clear" w:color="auto" w:fill="FFFFFF" w:themeFill="background1"/>
        <w:tabs>
          <w:tab w:val="left" w:pos="-1843"/>
          <w:tab w:val="left" w:pos="9072"/>
        </w:tabs>
        <w:rPr>
          <w:rFonts w:cstheme="minorHAnsi"/>
          <w:szCs w:val="23"/>
        </w:rPr>
      </w:pPr>
      <w:r w:rsidRPr="002E5315">
        <w:rPr>
          <w:rFonts w:cstheme="minorHAnsi"/>
          <w:szCs w:val="23"/>
        </w:rPr>
        <w:t xml:space="preserve">Od svih zaprimljenih žalbi, 450 ili </w:t>
      </w:r>
      <w:r w:rsidRPr="002E5315">
        <w:rPr>
          <w:rFonts w:cstheme="minorHAnsi"/>
          <w:b/>
          <w:bCs/>
          <w:szCs w:val="23"/>
        </w:rPr>
        <w:t>55,30% se odnosi na</w:t>
      </w:r>
      <w:r w:rsidRPr="002E5315">
        <w:rPr>
          <w:rFonts w:cstheme="minorHAnsi"/>
          <w:szCs w:val="23"/>
        </w:rPr>
        <w:t xml:space="preserve"> </w:t>
      </w:r>
      <w:r w:rsidRPr="002E5315">
        <w:rPr>
          <w:rFonts w:cstheme="minorHAnsi"/>
          <w:b/>
          <w:szCs w:val="23"/>
        </w:rPr>
        <w:t>žalbe zbog</w:t>
      </w:r>
      <w:r w:rsidRPr="002E5315">
        <w:rPr>
          <w:rFonts w:cstheme="minorHAnsi"/>
          <w:szCs w:val="23"/>
        </w:rPr>
        <w:t xml:space="preserve"> </w:t>
      </w:r>
      <w:r w:rsidRPr="002E5315">
        <w:rPr>
          <w:rFonts w:cstheme="minorHAnsi"/>
          <w:b/>
          <w:szCs w:val="23"/>
        </w:rPr>
        <w:t>šutnje uprave</w:t>
      </w:r>
      <w:r w:rsidRPr="002E5315">
        <w:rPr>
          <w:rFonts w:cstheme="minorHAnsi"/>
          <w:color w:val="000000" w:themeColor="text1"/>
          <w:szCs w:val="23"/>
        </w:rPr>
        <w:t xml:space="preserve">, što </w:t>
      </w:r>
      <w:r w:rsidRPr="002E5315">
        <w:rPr>
          <w:rFonts w:cstheme="minorHAnsi"/>
          <w:szCs w:val="23"/>
        </w:rPr>
        <w:t>predstavlja povećanje u odnosu na 2018., kad ih je bilo 48,02%.</w:t>
      </w:r>
    </w:p>
    <w:p w14:paraId="057EB380" w14:textId="0D5716B3" w:rsidR="005823CA" w:rsidRPr="002E5315" w:rsidRDefault="005823CA" w:rsidP="005823CA">
      <w:pPr>
        <w:shd w:val="clear" w:color="auto" w:fill="FFFFFF" w:themeFill="background1"/>
        <w:tabs>
          <w:tab w:val="left" w:pos="-1843"/>
          <w:tab w:val="left" w:pos="9072"/>
        </w:tabs>
        <w:rPr>
          <w:rFonts w:cstheme="minorHAnsi"/>
          <w:szCs w:val="23"/>
        </w:rPr>
      </w:pPr>
      <w:r w:rsidRPr="002E5315">
        <w:rPr>
          <w:rFonts w:cstheme="minorHAnsi"/>
          <w:szCs w:val="23"/>
        </w:rPr>
        <w:t xml:space="preserve">Ostale žalbe, </w:t>
      </w:r>
      <w:r w:rsidRPr="002E5315">
        <w:rPr>
          <w:rFonts w:cstheme="minorHAnsi"/>
          <w:b/>
          <w:bCs/>
          <w:szCs w:val="23"/>
        </w:rPr>
        <w:t>364 ili 44,70%, izjavljene su na rješenja o odbijanju ili odbacivanju zahtjeva</w:t>
      </w:r>
      <w:r w:rsidRPr="002E5315">
        <w:rPr>
          <w:rFonts w:cstheme="minorHAnsi"/>
          <w:szCs w:val="23"/>
        </w:rPr>
        <w:t xml:space="preserve"> za pristup ili ponovnu uporabu informacija, a među njima su i 2 žalbe (0,25 % svih žalbi) izjavljene na rješenja o prigovoru, kojima se odlučivalo o obavijestima iz članka 23. stavka 1. točke 2.-6. ZPPI-ja, koje su donesene temeljem ranije prakse Povjerenika, </w:t>
      </w:r>
      <w:r w:rsidRPr="002E5315">
        <w:rPr>
          <w:rFonts w:cstheme="minorBidi"/>
          <w:szCs w:val="23"/>
        </w:rPr>
        <w:t>prije nego li je</w:t>
      </w:r>
      <w:r w:rsidRPr="002E5315">
        <w:rPr>
          <w:rFonts w:cstheme="minorHAnsi"/>
          <w:szCs w:val="23"/>
        </w:rPr>
        <w:t xml:space="preserve"> Visoki upravni sud RH zauzeo stav kako je prigovor na izjavljenu obavijest iz članka 23. ZPPI-ja nedopušten pravni lijek, jer se u tim slučajevima ne radi o postupanju javnopravnog tijela u smislu odredbe članka 156. ZUP-a, već o obavijesti na koju se primjenjuje odredba članka 155. ZUP-a.</w:t>
      </w:r>
    </w:p>
    <w:p w14:paraId="4C9CF2A7" w14:textId="77777777" w:rsidR="00633D93" w:rsidRDefault="005823CA" w:rsidP="005823CA">
      <w:pPr>
        <w:shd w:val="clear" w:color="auto" w:fill="FFFFFF" w:themeFill="background1"/>
        <w:tabs>
          <w:tab w:val="left" w:pos="-1843"/>
          <w:tab w:val="left" w:pos="9072"/>
        </w:tabs>
        <w:rPr>
          <w:rFonts w:cstheme="minorHAnsi"/>
          <w:szCs w:val="23"/>
        </w:rPr>
      </w:pPr>
      <w:r w:rsidRPr="002E5315">
        <w:rPr>
          <w:rFonts w:cstheme="minorHAnsi"/>
          <w:szCs w:val="23"/>
        </w:rPr>
        <w:t>Tijekom 2019. je Visoki upravni sud RH</w:t>
      </w:r>
      <w:r w:rsidR="00954DB8" w:rsidRPr="002E5315">
        <w:rPr>
          <w:rFonts w:cstheme="minorHAnsi"/>
          <w:szCs w:val="23"/>
        </w:rPr>
        <w:t xml:space="preserve"> </w:t>
      </w:r>
      <w:r w:rsidRPr="002E5315">
        <w:rPr>
          <w:rFonts w:cstheme="minorHAnsi"/>
          <w:szCs w:val="23"/>
        </w:rPr>
        <w:t>dodatno promijenio praksu u odnosu na obavijest iz članka 23. stavka 1., a u vezi s člankom 18. stavkom 5. ZPPI-ja te je slijedom promjene te prakse Povjerenik</w:t>
      </w:r>
      <w:r w:rsidR="00954DB8" w:rsidRPr="002E5315">
        <w:rPr>
          <w:rFonts w:cstheme="minorHAnsi"/>
          <w:szCs w:val="23"/>
        </w:rPr>
        <w:t xml:space="preserve"> </w:t>
      </w:r>
      <w:r w:rsidRPr="002E5315">
        <w:rPr>
          <w:rFonts w:cstheme="minorHAnsi"/>
          <w:szCs w:val="23"/>
        </w:rPr>
        <w:t>promijenio postupanje u takvoj vrsti predmeta</w:t>
      </w:r>
      <w:r w:rsidR="00633D93">
        <w:rPr>
          <w:rFonts w:cstheme="minorHAnsi"/>
          <w:szCs w:val="23"/>
        </w:rPr>
        <w:t>.</w:t>
      </w:r>
    </w:p>
    <w:p w14:paraId="2F6CA38C" w14:textId="281BC68E" w:rsidR="005307B5" w:rsidRPr="002E5315" w:rsidRDefault="005823CA" w:rsidP="005823CA">
      <w:pPr>
        <w:shd w:val="clear" w:color="auto" w:fill="FFFFFF" w:themeFill="background1"/>
        <w:tabs>
          <w:tab w:val="left" w:pos="-1843"/>
          <w:tab w:val="left" w:pos="9072"/>
        </w:tabs>
        <w:spacing w:before="120"/>
        <w:rPr>
          <w:rFonts w:cstheme="minorHAnsi"/>
          <w:szCs w:val="23"/>
        </w:rPr>
      </w:pPr>
      <w:r w:rsidRPr="002E5315">
        <w:rPr>
          <w:rFonts w:cstheme="minorBidi"/>
          <w:szCs w:val="23"/>
        </w:rPr>
        <w:t>Stoga je Povjerenik u predmetima u kojima je upućena žalba na izdanu obavijest koja ne sadrži uputu o načinu ostvarenja traženja, nalagao tijelima javne vlasti da riješe zahtjev za pristup informacijama</w:t>
      </w:r>
      <w:r w:rsidR="005307B5" w:rsidRPr="002E5315">
        <w:rPr>
          <w:rFonts w:cstheme="minorHAnsi"/>
          <w:szCs w:val="23"/>
        </w:rPr>
        <w:t>.</w:t>
      </w:r>
    </w:p>
    <w:p w14:paraId="75CB02A2" w14:textId="2EBEB236" w:rsidR="005307B5" w:rsidRPr="002E5315" w:rsidRDefault="005307B5" w:rsidP="00756407">
      <w:pPr>
        <w:rPr>
          <w:sz w:val="20"/>
          <w:szCs w:val="20"/>
        </w:rPr>
      </w:pPr>
      <w:r w:rsidRPr="00756407">
        <w:rPr>
          <w:b/>
          <w:sz w:val="20"/>
          <w:szCs w:val="20"/>
        </w:rPr>
        <w:t>Tablica</w:t>
      </w:r>
      <w:r w:rsidRPr="002E5315">
        <w:rPr>
          <w:sz w:val="20"/>
          <w:szCs w:val="20"/>
        </w:rPr>
        <w:t xml:space="preserve"> </w:t>
      </w:r>
      <w:r w:rsidR="00276C0B" w:rsidRPr="002E5315">
        <w:rPr>
          <w:sz w:val="20"/>
          <w:szCs w:val="20"/>
        </w:rPr>
        <w:t>3</w:t>
      </w:r>
      <w:r w:rsidRPr="002E5315">
        <w:rPr>
          <w:sz w:val="20"/>
          <w:szCs w:val="20"/>
        </w:rPr>
        <w:t>.</w:t>
      </w:r>
      <w:r w:rsidR="00276C0B" w:rsidRPr="002E5315">
        <w:rPr>
          <w:sz w:val="20"/>
          <w:szCs w:val="20"/>
        </w:rPr>
        <w:t>1</w:t>
      </w:r>
      <w:r w:rsidRPr="002E5315">
        <w:rPr>
          <w:sz w:val="20"/>
          <w:szCs w:val="20"/>
        </w:rPr>
        <w:t>. Broj izjavljenih žalbi i udio žalbi zbog šutnje uprave po godinama 2013.-2019.</w:t>
      </w:r>
    </w:p>
    <w:tbl>
      <w:tblPr>
        <w:tblStyle w:val="Svijetlosjenanje-Isticanje5"/>
        <w:tblW w:w="8915" w:type="dxa"/>
        <w:jc w:val="center"/>
        <w:tblLook w:val="04A0" w:firstRow="1" w:lastRow="0" w:firstColumn="1" w:lastColumn="0" w:noHBand="0" w:noVBand="1"/>
      </w:tblPr>
      <w:tblGrid>
        <w:gridCol w:w="2341"/>
        <w:gridCol w:w="3632"/>
        <w:gridCol w:w="1702"/>
        <w:gridCol w:w="1240"/>
      </w:tblGrid>
      <w:tr w:rsidR="00AD7E19" w:rsidRPr="002E5315" w14:paraId="672C436F" w14:textId="77777777" w:rsidTr="002E53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0830EA5B" w14:textId="77777777" w:rsidR="00AD7E19" w:rsidRPr="002E5315" w:rsidRDefault="00AD7E19" w:rsidP="005307B5">
            <w:pPr>
              <w:keepNext/>
              <w:jc w:val="center"/>
              <w:rPr>
                <w:rFonts w:cs="Arial"/>
                <w:bCs w:val="0"/>
                <w:color w:val="auto"/>
                <w:sz w:val="20"/>
                <w:szCs w:val="20"/>
              </w:rPr>
            </w:pPr>
            <w:r w:rsidRPr="002E5315">
              <w:rPr>
                <w:rFonts w:cs="Arial"/>
                <w:bCs w:val="0"/>
                <w:color w:val="auto"/>
                <w:sz w:val="20"/>
                <w:szCs w:val="20"/>
              </w:rPr>
              <w:t>Godina</w:t>
            </w:r>
          </w:p>
        </w:tc>
        <w:tc>
          <w:tcPr>
            <w:tcW w:w="3632" w:type="dxa"/>
            <w:hideMark/>
          </w:tcPr>
          <w:p w14:paraId="579B4EF1" w14:textId="77777777" w:rsidR="00AD7E19" w:rsidRPr="002E5315" w:rsidRDefault="00AD7E19" w:rsidP="005307B5">
            <w:pPr>
              <w:keepNext/>
              <w:jc w:val="center"/>
              <w:cnfStyle w:val="100000000000" w:firstRow="1" w:lastRow="0" w:firstColumn="0" w:lastColumn="0" w:oddVBand="0" w:evenVBand="0" w:oddHBand="0" w:evenHBand="0" w:firstRowFirstColumn="0" w:firstRowLastColumn="0" w:lastRowFirstColumn="0" w:lastRowLastColumn="0"/>
              <w:rPr>
                <w:rFonts w:cs="Arial"/>
                <w:bCs w:val="0"/>
                <w:color w:val="auto"/>
                <w:sz w:val="20"/>
                <w:szCs w:val="20"/>
              </w:rPr>
            </w:pPr>
            <w:r w:rsidRPr="002E5315">
              <w:rPr>
                <w:rFonts w:cs="Arial"/>
                <w:bCs w:val="0"/>
                <w:color w:val="auto"/>
                <w:sz w:val="20"/>
                <w:szCs w:val="20"/>
              </w:rPr>
              <w:t>Izjavljene žalbe ukupno</w:t>
            </w:r>
          </w:p>
        </w:tc>
        <w:tc>
          <w:tcPr>
            <w:tcW w:w="2942" w:type="dxa"/>
            <w:gridSpan w:val="2"/>
            <w:hideMark/>
          </w:tcPr>
          <w:p w14:paraId="7C3061FE" w14:textId="77777777" w:rsidR="00AD7E19" w:rsidRPr="002E5315" w:rsidRDefault="00AD7E19" w:rsidP="00AD7E19">
            <w:pPr>
              <w:keepNext/>
              <w:jc w:val="center"/>
              <w:cnfStyle w:val="100000000000" w:firstRow="1" w:lastRow="0" w:firstColumn="0" w:lastColumn="0" w:oddVBand="0" w:evenVBand="0" w:oddHBand="0" w:evenHBand="0" w:firstRowFirstColumn="0" w:firstRowLastColumn="0" w:lastRowFirstColumn="0" w:lastRowLastColumn="0"/>
              <w:rPr>
                <w:rFonts w:cs="Arial"/>
                <w:bCs w:val="0"/>
                <w:color w:val="auto"/>
                <w:sz w:val="20"/>
                <w:szCs w:val="20"/>
              </w:rPr>
            </w:pPr>
            <w:r w:rsidRPr="002E5315">
              <w:rPr>
                <w:rFonts w:cs="Arial"/>
                <w:bCs w:val="0"/>
                <w:color w:val="auto"/>
                <w:sz w:val="20"/>
                <w:szCs w:val="20"/>
              </w:rPr>
              <w:t>Žalbe zbog šutnje uprave</w:t>
            </w:r>
          </w:p>
        </w:tc>
      </w:tr>
      <w:tr w:rsidR="005307B5" w:rsidRPr="002E5315" w14:paraId="2E4B18DB" w14:textId="77777777" w:rsidTr="007564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823E466" w14:textId="77777777" w:rsidR="005307B5" w:rsidRPr="002E5315" w:rsidRDefault="005307B5" w:rsidP="005307B5">
            <w:pPr>
              <w:rPr>
                <w:rFonts w:cs="Arial"/>
                <w:b w:val="0"/>
                <w:bCs w:val="0"/>
                <w:color w:val="auto"/>
                <w:sz w:val="20"/>
                <w:szCs w:val="20"/>
              </w:rPr>
            </w:pPr>
          </w:p>
        </w:tc>
        <w:tc>
          <w:tcPr>
            <w:tcW w:w="3632" w:type="dxa"/>
            <w:shd w:val="clear" w:color="auto" w:fill="D9E2F3" w:themeFill="accent1" w:themeFillTint="33"/>
            <w:hideMark/>
          </w:tcPr>
          <w:p w14:paraId="03FDE630" w14:textId="77777777" w:rsidR="005307B5" w:rsidRPr="002E5315" w:rsidRDefault="005307B5" w:rsidP="005307B5">
            <w:pPr>
              <w:keepNext/>
              <w:jc w:val="cente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2E5315">
              <w:rPr>
                <w:rFonts w:cs="Arial"/>
                <w:b/>
                <w:i/>
                <w:color w:val="auto"/>
                <w:sz w:val="20"/>
                <w:szCs w:val="20"/>
              </w:rPr>
              <w:t>Broj</w:t>
            </w:r>
          </w:p>
        </w:tc>
        <w:tc>
          <w:tcPr>
            <w:tcW w:w="1702" w:type="dxa"/>
            <w:shd w:val="clear" w:color="auto" w:fill="D9E2F3" w:themeFill="accent1" w:themeFillTint="33"/>
            <w:hideMark/>
          </w:tcPr>
          <w:p w14:paraId="3E747DB4"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2E5315">
              <w:rPr>
                <w:rFonts w:cs="Arial"/>
                <w:b/>
                <w:i/>
                <w:color w:val="auto"/>
                <w:sz w:val="20"/>
                <w:szCs w:val="20"/>
              </w:rPr>
              <w:t>Broj</w:t>
            </w:r>
          </w:p>
        </w:tc>
        <w:tc>
          <w:tcPr>
            <w:tcW w:w="1240" w:type="dxa"/>
            <w:shd w:val="clear" w:color="auto" w:fill="D9E2F3" w:themeFill="accent1" w:themeFillTint="33"/>
            <w:hideMark/>
          </w:tcPr>
          <w:p w14:paraId="16073A0F"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2E5315">
              <w:rPr>
                <w:rFonts w:cs="Arial"/>
                <w:b/>
                <w:i/>
                <w:color w:val="auto"/>
                <w:sz w:val="20"/>
                <w:szCs w:val="20"/>
              </w:rPr>
              <w:t>%</w:t>
            </w:r>
          </w:p>
        </w:tc>
      </w:tr>
      <w:tr w:rsidR="005307B5" w:rsidRPr="002E5315" w14:paraId="10CAD559" w14:textId="77777777" w:rsidTr="002E5315">
        <w:trPr>
          <w:jc w:val="center"/>
        </w:trPr>
        <w:tc>
          <w:tcPr>
            <w:cnfStyle w:val="001000000000" w:firstRow="0" w:lastRow="0" w:firstColumn="1" w:lastColumn="0" w:oddVBand="0" w:evenVBand="0" w:oddHBand="0" w:evenHBand="0" w:firstRowFirstColumn="0" w:firstRowLastColumn="0" w:lastRowFirstColumn="0" w:lastRowLastColumn="0"/>
            <w:tcW w:w="2341" w:type="dxa"/>
            <w:hideMark/>
          </w:tcPr>
          <w:p w14:paraId="1205675F"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2013</w:t>
            </w:r>
          </w:p>
        </w:tc>
        <w:tc>
          <w:tcPr>
            <w:tcW w:w="3632" w:type="dxa"/>
            <w:hideMark/>
          </w:tcPr>
          <w:p w14:paraId="745B6ADF" w14:textId="77777777" w:rsidR="005307B5" w:rsidRPr="002E5315" w:rsidRDefault="005307B5" w:rsidP="005307B5">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515</w:t>
            </w:r>
          </w:p>
        </w:tc>
        <w:tc>
          <w:tcPr>
            <w:tcW w:w="1702" w:type="dxa"/>
            <w:hideMark/>
          </w:tcPr>
          <w:p w14:paraId="721FD22A"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331</w:t>
            </w:r>
          </w:p>
        </w:tc>
        <w:tc>
          <w:tcPr>
            <w:tcW w:w="1240" w:type="dxa"/>
            <w:hideMark/>
          </w:tcPr>
          <w:p w14:paraId="49CE777D"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64,27</w:t>
            </w:r>
          </w:p>
        </w:tc>
      </w:tr>
      <w:tr w:rsidR="005307B5" w:rsidRPr="002E5315" w14:paraId="60B785E4" w14:textId="77777777" w:rsidTr="007564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D9E2F3" w:themeFill="accent1" w:themeFillTint="33"/>
            <w:hideMark/>
          </w:tcPr>
          <w:p w14:paraId="50677021"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2014</w:t>
            </w:r>
          </w:p>
        </w:tc>
        <w:tc>
          <w:tcPr>
            <w:tcW w:w="3632" w:type="dxa"/>
            <w:shd w:val="clear" w:color="auto" w:fill="D9E2F3" w:themeFill="accent1" w:themeFillTint="33"/>
            <w:hideMark/>
          </w:tcPr>
          <w:p w14:paraId="2B456FB1" w14:textId="77777777" w:rsidR="005307B5" w:rsidRPr="002E5315" w:rsidRDefault="005307B5" w:rsidP="005307B5">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658</w:t>
            </w:r>
          </w:p>
        </w:tc>
        <w:tc>
          <w:tcPr>
            <w:tcW w:w="1702" w:type="dxa"/>
            <w:shd w:val="clear" w:color="auto" w:fill="D9E2F3" w:themeFill="accent1" w:themeFillTint="33"/>
            <w:hideMark/>
          </w:tcPr>
          <w:p w14:paraId="21DA9AA4"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400</w:t>
            </w:r>
          </w:p>
        </w:tc>
        <w:tc>
          <w:tcPr>
            <w:tcW w:w="1240" w:type="dxa"/>
            <w:shd w:val="clear" w:color="auto" w:fill="D9E2F3" w:themeFill="accent1" w:themeFillTint="33"/>
            <w:hideMark/>
          </w:tcPr>
          <w:p w14:paraId="5A6B480A"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60,79</w:t>
            </w:r>
          </w:p>
        </w:tc>
      </w:tr>
      <w:tr w:rsidR="005307B5" w:rsidRPr="002E5315" w14:paraId="13231982" w14:textId="77777777" w:rsidTr="002E5315">
        <w:trPr>
          <w:jc w:val="center"/>
        </w:trPr>
        <w:tc>
          <w:tcPr>
            <w:cnfStyle w:val="001000000000" w:firstRow="0" w:lastRow="0" w:firstColumn="1" w:lastColumn="0" w:oddVBand="0" w:evenVBand="0" w:oddHBand="0" w:evenHBand="0" w:firstRowFirstColumn="0" w:firstRowLastColumn="0" w:lastRowFirstColumn="0" w:lastRowLastColumn="0"/>
            <w:tcW w:w="2341" w:type="dxa"/>
            <w:hideMark/>
          </w:tcPr>
          <w:p w14:paraId="7B9868FF"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2015</w:t>
            </w:r>
          </w:p>
        </w:tc>
        <w:tc>
          <w:tcPr>
            <w:tcW w:w="3632" w:type="dxa"/>
            <w:hideMark/>
          </w:tcPr>
          <w:p w14:paraId="2100F16E" w14:textId="77777777" w:rsidR="005307B5" w:rsidRPr="002E5315" w:rsidRDefault="005307B5" w:rsidP="005307B5">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624</w:t>
            </w:r>
          </w:p>
        </w:tc>
        <w:tc>
          <w:tcPr>
            <w:tcW w:w="1702" w:type="dxa"/>
            <w:hideMark/>
          </w:tcPr>
          <w:p w14:paraId="3C3AC6ED"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402</w:t>
            </w:r>
          </w:p>
        </w:tc>
        <w:tc>
          <w:tcPr>
            <w:tcW w:w="1240" w:type="dxa"/>
            <w:hideMark/>
          </w:tcPr>
          <w:p w14:paraId="35EE5441"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64,42</w:t>
            </w:r>
          </w:p>
        </w:tc>
      </w:tr>
      <w:tr w:rsidR="005307B5" w:rsidRPr="002E5315" w14:paraId="1F7AC3D5" w14:textId="77777777" w:rsidTr="007564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D9E2F3" w:themeFill="accent1" w:themeFillTint="33"/>
            <w:hideMark/>
          </w:tcPr>
          <w:p w14:paraId="4496462D"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2016</w:t>
            </w:r>
          </w:p>
        </w:tc>
        <w:tc>
          <w:tcPr>
            <w:tcW w:w="3632" w:type="dxa"/>
            <w:shd w:val="clear" w:color="auto" w:fill="D9E2F3" w:themeFill="accent1" w:themeFillTint="33"/>
            <w:hideMark/>
          </w:tcPr>
          <w:p w14:paraId="540EFDCB" w14:textId="77777777" w:rsidR="005307B5" w:rsidRPr="002E5315" w:rsidRDefault="005307B5" w:rsidP="005307B5">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635</w:t>
            </w:r>
          </w:p>
        </w:tc>
        <w:tc>
          <w:tcPr>
            <w:tcW w:w="1702" w:type="dxa"/>
            <w:shd w:val="clear" w:color="auto" w:fill="D9E2F3" w:themeFill="accent1" w:themeFillTint="33"/>
            <w:hideMark/>
          </w:tcPr>
          <w:p w14:paraId="5E2B3F98"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384</w:t>
            </w:r>
          </w:p>
        </w:tc>
        <w:tc>
          <w:tcPr>
            <w:tcW w:w="1240" w:type="dxa"/>
            <w:shd w:val="clear" w:color="auto" w:fill="D9E2F3" w:themeFill="accent1" w:themeFillTint="33"/>
            <w:hideMark/>
          </w:tcPr>
          <w:p w14:paraId="3C3384CF"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60,47</w:t>
            </w:r>
          </w:p>
        </w:tc>
      </w:tr>
      <w:tr w:rsidR="005307B5" w:rsidRPr="002E5315" w14:paraId="46C47F20" w14:textId="77777777" w:rsidTr="002E5315">
        <w:trPr>
          <w:jc w:val="center"/>
        </w:trPr>
        <w:tc>
          <w:tcPr>
            <w:cnfStyle w:val="001000000000" w:firstRow="0" w:lastRow="0" w:firstColumn="1" w:lastColumn="0" w:oddVBand="0" w:evenVBand="0" w:oddHBand="0" w:evenHBand="0" w:firstRowFirstColumn="0" w:firstRowLastColumn="0" w:lastRowFirstColumn="0" w:lastRowLastColumn="0"/>
            <w:tcW w:w="2341" w:type="dxa"/>
          </w:tcPr>
          <w:p w14:paraId="43B7728F"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2017</w:t>
            </w:r>
          </w:p>
        </w:tc>
        <w:tc>
          <w:tcPr>
            <w:tcW w:w="3632" w:type="dxa"/>
          </w:tcPr>
          <w:p w14:paraId="6FB2A9EB" w14:textId="77777777" w:rsidR="005307B5" w:rsidRPr="002E5315" w:rsidRDefault="005307B5" w:rsidP="005307B5">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1.172</w:t>
            </w:r>
          </w:p>
        </w:tc>
        <w:tc>
          <w:tcPr>
            <w:tcW w:w="1702" w:type="dxa"/>
          </w:tcPr>
          <w:p w14:paraId="342D91A3"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498</w:t>
            </w:r>
          </w:p>
        </w:tc>
        <w:tc>
          <w:tcPr>
            <w:tcW w:w="1240" w:type="dxa"/>
          </w:tcPr>
          <w:p w14:paraId="5338D808"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42,49</w:t>
            </w:r>
          </w:p>
        </w:tc>
      </w:tr>
      <w:tr w:rsidR="005307B5" w:rsidRPr="002E5315" w14:paraId="12333780" w14:textId="77777777" w:rsidTr="007564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D9E2F3" w:themeFill="accent1" w:themeFillTint="33"/>
            <w:hideMark/>
          </w:tcPr>
          <w:p w14:paraId="7B4DCEC1"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2018</w:t>
            </w:r>
          </w:p>
        </w:tc>
        <w:tc>
          <w:tcPr>
            <w:tcW w:w="3632" w:type="dxa"/>
            <w:shd w:val="clear" w:color="auto" w:fill="D9E2F3" w:themeFill="accent1" w:themeFillTint="33"/>
            <w:hideMark/>
          </w:tcPr>
          <w:p w14:paraId="7301C409" w14:textId="77777777" w:rsidR="005307B5" w:rsidRPr="002E5315" w:rsidRDefault="005307B5" w:rsidP="005307B5">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1.010</w:t>
            </w:r>
          </w:p>
        </w:tc>
        <w:tc>
          <w:tcPr>
            <w:tcW w:w="1702" w:type="dxa"/>
            <w:shd w:val="clear" w:color="auto" w:fill="D9E2F3" w:themeFill="accent1" w:themeFillTint="33"/>
            <w:hideMark/>
          </w:tcPr>
          <w:p w14:paraId="25CA8C46"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485</w:t>
            </w:r>
          </w:p>
        </w:tc>
        <w:tc>
          <w:tcPr>
            <w:tcW w:w="1240" w:type="dxa"/>
            <w:shd w:val="clear" w:color="auto" w:fill="D9E2F3" w:themeFill="accent1" w:themeFillTint="33"/>
            <w:hideMark/>
          </w:tcPr>
          <w:p w14:paraId="66742EC5"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48,02</w:t>
            </w:r>
          </w:p>
        </w:tc>
      </w:tr>
      <w:tr w:rsidR="005307B5" w:rsidRPr="002E5315" w14:paraId="5CD010DD" w14:textId="77777777" w:rsidTr="002E5315">
        <w:trPr>
          <w:jc w:val="center"/>
        </w:trPr>
        <w:tc>
          <w:tcPr>
            <w:cnfStyle w:val="001000000000" w:firstRow="0" w:lastRow="0" w:firstColumn="1" w:lastColumn="0" w:oddVBand="0" w:evenVBand="0" w:oddHBand="0" w:evenHBand="0" w:firstRowFirstColumn="0" w:firstRowLastColumn="0" w:lastRowFirstColumn="0" w:lastRowLastColumn="0"/>
            <w:tcW w:w="2341" w:type="dxa"/>
          </w:tcPr>
          <w:p w14:paraId="51E4ED9C" w14:textId="77777777" w:rsidR="005307B5" w:rsidRPr="002E5315" w:rsidRDefault="005307B5" w:rsidP="005307B5">
            <w:pPr>
              <w:keepNext/>
              <w:jc w:val="center"/>
              <w:rPr>
                <w:rFonts w:cs="Arial"/>
                <w:b w:val="0"/>
                <w:bCs w:val="0"/>
                <w:color w:val="auto"/>
                <w:sz w:val="20"/>
                <w:szCs w:val="20"/>
              </w:rPr>
            </w:pPr>
            <w:r w:rsidRPr="002E5315">
              <w:rPr>
                <w:rFonts w:cs="Arial"/>
                <w:b w:val="0"/>
                <w:bCs w:val="0"/>
                <w:color w:val="auto"/>
                <w:sz w:val="20"/>
                <w:szCs w:val="20"/>
              </w:rPr>
              <w:t>2019</w:t>
            </w:r>
          </w:p>
        </w:tc>
        <w:tc>
          <w:tcPr>
            <w:tcW w:w="3632" w:type="dxa"/>
          </w:tcPr>
          <w:p w14:paraId="567C57C8" w14:textId="77777777" w:rsidR="005307B5" w:rsidRPr="002E5315" w:rsidRDefault="005307B5" w:rsidP="005307B5">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814</w:t>
            </w:r>
          </w:p>
        </w:tc>
        <w:tc>
          <w:tcPr>
            <w:tcW w:w="1702" w:type="dxa"/>
          </w:tcPr>
          <w:p w14:paraId="7B4072E3"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450</w:t>
            </w:r>
          </w:p>
        </w:tc>
        <w:tc>
          <w:tcPr>
            <w:tcW w:w="1240" w:type="dxa"/>
          </w:tcPr>
          <w:p w14:paraId="7284697F" w14:textId="77777777" w:rsidR="005307B5" w:rsidRPr="002E5315" w:rsidRDefault="005307B5" w:rsidP="00AD7E19">
            <w:pPr>
              <w:keepNext/>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55,30</w:t>
            </w:r>
          </w:p>
        </w:tc>
      </w:tr>
      <w:tr w:rsidR="005307B5" w:rsidRPr="002E5315" w14:paraId="22595979" w14:textId="77777777" w:rsidTr="007564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D9E2F3" w:themeFill="accent1" w:themeFillTint="33"/>
          </w:tcPr>
          <w:p w14:paraId="3523E57F" w14:textId="77777777" w:rsidR="005307B5" w:rsidRPr="002E5315" w:rsidRDefault="005307B5" w:rsidP="005307B5">
            <w:pPr>
              <w:keepNext/>
              <w:jc w:val="center"/>
              <w:rPr>
                <w:rFonts w:cs="Arial"/>
                <w:bCs w:val="0"/>
                <w:color w:val="auto"/>
                <w:sz w:val="20"/>
                <w:szCs w:val="20"/>
              </w:rPr>
            </w:pPr>
            <w:r w:rsidRPr="002E5315">
              <w:rPr>
                <w:rFonts w:cs="Arial"/>
                <w:bCs w:val="0"/>
                <w:color w:val="auto"/>
                <w:sz w:val="20"/>
                <w:szCs w:val="20"/>
              </w:rPr>
              <w:t>Ukupno</w:t>
            </w:r>
          </w:p>
        </w:tc>
        <w:tc>
          <w:tcPr>
            <w:tcW w:w="3632" w:type="dxa"/>
            <w:shd w:val="clear" w:color="auto" w:fill="D9E2F3" w:themeFill="accent1" w:themeFillTint="33"/>
          </w:tcPr>
          <w:p w14:paraId="3D28129A" w14:textId="77777777" w:rsidR="005307B5" w:rsidRPr="002E5315" w:rsidRDefault="005307B5" w:rsidP="005307B5">
            <w:pPr>
              <w:keepNext/>
              <w:jc w:val="center"/>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2E5315">
              <w:rPr>
                <w:rFonts w:cs="Arial"/>
                <w:b/>
                <w:color w:val="auto"/>
                <w:sz w:val="20"/>
                <w:szCs w:val="20"/>
              </w:rPr>
              <w:t xml:space="preserve"> 5428</w:t>
            </w:r>
          </w:p>
        </w:tc>
        <w:tc>
          <w:tcPr>
            <w:tcW w:w="1702" w:type="dxa"/>
            <w:shd w:val="clear" w:color="auto" w:fill="D9E2F3" w:themeFill="accent1" w:themeFillTint="33"/>
          </w:tcPr>
          <w:p w14:paraId="455E7324"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2E5315">
              <w:rPr>
                <w:rFonts w:cs="Arial"/>
                <w:b/>
                <w:color w:val="auto"/>
                <w:sz w:val="20"/>
                <w:szCs w:val="20"/>
              </w:rPr>
              <w:t>2864</w:t>
            </w:r>
          </w:p>
        </w:tc>
        <w:tc>
          <w:tcPr>
            <w:tcW w:w="1240" w:type="dxa"/>
            <w:shd w:val="clear" w:color="auto" w:fill="D9E2F3" w:themeFill="accent1" w:themeFillTint="33"/>
          </w:tcPr>
          <w:p w14:paraId="5373F3B5" w14:textId="77777777" w:rsidR="005307B5" w:rsidRPr="002E5315" w:rsidRDefault="005307B5" w:rsidP="00AD7E19">
            <w:pPr>
              <w:keepNext/>
              <w:jc w:val="center"/>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2E5315">
              <w:rPr>
                <w:rFonts w:cs="Arial"/>
                <w:b/>
                <w:color w:val="auto"/>
                <w:sz w:val="20"/>
                <w:szCs w:val="20"/>
              </w:rPr>
              <w:t>-</w:t>
            </w:r>
          </w:p>
        </w:tc>
      </w:tr>
    </w:tbl>
    <w:p w14:paraId="5F51CFEB" w14:textId="20B65153" w:rsidR="005307B5" w:rsidRPr="002E5315" w:rsidRDefault="005307B5" w:rsidP="00276C0B">
      <w:pPr>
        <w:shd w:val="clear" w:color="auto" w:fill="FFFFFF" w:themeFill="background1"/>
        <w:spacing w:before="360"/>
        <w:rPr>
          <w:rFonts w:cstheme="minorHAnsi"/>
          <w:szCs w:val="23"/>
        </w:rPr>
      </w:pPr>
      <w:r w:rsidRPr="002E5315">
        <w:rPr>
          <w:rFonts w:cstheme="minorHAnsi"/>
          <w:szCs w:val="23"/>
        </w:rPr>
        <w:t xml:space="preserve">Iz podataka o zaprimljenim žalbama je vidljivo da </w:t>
      </w:r>
      <w:r w:rsidRPr="002E5315">
        <w:rPr>
          <w:rFonts w:cstheme="minorHAnsi"/>
          <w:b/>
          <w:szCs w:val="23"/>
        </w:rPr>
        <w:t xml:space="preserve">nerješavanje zahtjeve korisnika i dalje </w:t>
      </w:r>
      <w:r w:rsidR="005823CA" w:rsidRPr="002E5315">
        <w:rPr>
          <w:rFonts w:cstheme="minorHAnsi"/>
          <w:b/>
          <w:szCs w:val="23"/>
        </w:rPr>
        <w:t>predstavlja ozbiljan problem primjene ZPPI-ja.</w:t>
      </w:r>
      <w:r w:rsidR="005823CA" w:rsidRPr="002E5315">
        <w:rPr>
          <w:rFonts w:cstheme="minorHAnsi"/>
          <w:szCs w:val="23"/>
        </w:rPr>
        <w:t xml:space="preserve"> Kao razlog kojim se može u jednom dijelu pojasniti velik broj izjavljenih žalbi zbog neriješenih zahtjeva od strane tijela javne vlasti je kratkoća roka od 15 kalendarskih dana, jer neke druge članice Europske unije imaju</w:t>
      </w:r>
      <w:r w:rsidR="00954DB8" w:rsidRPr="002E5315">
        <w:rPr>
          <w:rFonts w:cstheme="minorHAnsi"/>
          <w:szCs w:val="23"/>
        </w:rPr>
        <w:t xml:space="preserve"> </w:t>
      </w:r>
      <w:r w:rsidR="005823CA" w:rsidRPr="002E5315">
        <w:rPr>
          <w:rFonts w:cstheme="minorHAnsi"/>
          <w:szCs w:val="23"/>
        </w:rPr>
        <w:t xml:space="preserve">propisan duži rok za rješavanje zahtjeva, primjerice u Republici Sloveniji je rok za rješavanje zahtjeva 20 radnih dana. Također se pojašnjenje može pronaći u određenim slučajevima u kojima korisnik, </w:t>
      </w:r>
      <w:r w:rsidR="005823CA" w:rsidRPr="002E5315">
        <w:rPr>
          <w:rFonts w:cstheme="minorHAnsi"/>
          <w:szCs w:val="23"/>
        </w:rPr>
        <w:lastRenderedPageBreak/>
        <w:t>putem jednog zahtjeva traži veliki broj različitih informacija iz područja rada tijela javne vlasti ili kad tijela trebaju osigurati informacije koje se nalaze izvan sjedišta tijela. Za dio zahtjeva koji nisu riješeni u zakonskom roku se ne može naći opravdanja za nerješavanje, jer se radi o nedostatku volje u tijelima javne vlasti da se pravovremeno i učinkovito riješe zahtjevi koje korisnici podnose ili se radi o traženju informacija od strane točno određenih osoba kojima određeni čelnik ne želi omogućiti pristup informacijama (osobne razmirice između korisnika i tijela javne vlasti, traženje informacija od strane oporbenih vijećnika i sl.</w:t>
      </w:r>
      <w:r w:rsidRPr="002E5315">
        <w:rPr>
          <w:rFonts w:cstheme="minorHAnsi"/>
          <w:szCs w:val="23"/>
        </w:rPr>
        <w:t>).</w:t>
      </w:r>
    </w:p>
    <w:p w14:paraId="60A241E3" w14:textId="066EE0DC" w:rsidR="005307B5" w:rsidRPr="002E5315" w:rsidRDefault="005307B5" w:rsidP="00276C0B">
      <w:pPr>
        <w:pStyle w:val="Naslov3"/>
      </w:pPr>
      <w:bookmarkStart w:id="18" w:name="_Toc36308923"/>
      <w:r w:rsidRPr="002E5315">
        <w:t>Podnositelji žalbi</w:t>
      </w:r>
      <w:bookmarkEnd w:id="18"/>
      <w:r w:rsidRPr="002E5315">
        <w:t xml:space="preserve"> </w:t>
      </w:r>
    </w:p>
    <w:p w14:paraId="3D50DFA9" w14:textId="03363401" w:rsidR="005823CA" w:rsidRPr="002E5315" w:rsidRDefault="005823CA" w:rsidP="005823CA">
      <w:pPr>
        <w:shd w:val="clear" w:color="auto" w:fill="FFFFFF" w:themeFill="background1"/>
        <w:tabs>
          <w:tab w:val="left" w:pos="-1843"/>
        </w:tabs>
        <w:rPr>
          <w:rFonts w:cstheme="minorHAnsi"/>
          <w:szCs w:val="23"/>
        </w:rPr>
      </w:pPr>
      <w:r w:rsidRPr="002E5315">
        <w:rPr>
          <w:rFonts w:cstheme="minorHAnsi"/>
          <w:szCs w:val="23"/>
        </w:rPr>
        <w:t xml:space="preserve">Tijekom 2019., u odnosu na podnositelje žalbi u postupcima ostvarivanja prava na pristup i ponovnu uporabu informacija (Tablica 3.2.), </w:t>
      </w:r>
      <w:r w:rsidRPr="002E5315">
        <w:rPr>
          <w:rFonts w:cstheme="minorHAnsi"/>
          <w:b/>
          <w:szCs w:val="23"/>
        </w:rPr>
        <w:t>najveći broj žalbi su</w:t>
      </w:r>
      <w:r w:rsidRPr="002E5315">
        <w:rPr>
          <w:rFonts w:cstheme="minorHAnsi"/>
          <w:szCs w:val="23"/>
        </w:rPr>
        <w:t xml:space="preserve"> </w:t>
      </w:r>
      <w:r w:rsidRPr="002E5315">
        <w:rPr>
          <w:rFonts w:cstheme="minorHAnsi"/>
          <w:b/>
          <w:szCs w:val="23"/>
        </w:rPr>
        <w:t>izjavili građani 602 ili 73,96%</w:t>
      </w:r>
      <w:r w:rsidRPr="002E5315">
        <w:rPr>
          <w:rFonts w:cstheme="minorHAnsi"/>
          <w:szCs w:val="23"/>
        </w:rPr>
        <w:t>, tako da su, kao i ranijih godina, ostali najčešći žalitelji (2018.-789 ili 78.12%, 2017. – 981 ili 83,70%). Navedenom broju je potrebno dodati i 33 ili 4,05% žalbi fizičkih osoba koje su se predstavljale u svojstvu vijećnika, člana komore i sl., te 37 žalbi ili 4,55% novinara. Pravne osobe su podnijele 142 žalbe (17,44%), od čega najviše udruge i sindikati (99 ili 12,16%) zatim trgovačka društva (30 ili 3,69%) te ostali (13 ili 1,60%) npr. mjesni odbori, političke stranke, JLP(R)S, ustanove, strukovne komore i sl. Udruge su tijekom 2019. bile druge po broju podnesenih žalbi, što ukazuje na važnost organiziranog djelovanja građana u zaštiti njihovih prava. Udio novinara u žalbenim postupcima za ostvarivanje prava na pristup informacijama nije visok te su novinari kao žalitelji u sličnom omjeru</w:t>
      </w:r>
      <w:r w:rsidR="00954DB8" w:rsidRPr="002E5315">
        <w:rPr>
          <w:rFonts w:cstheme="minorHAnsi"/>
          <w:szCs w:val="23"/>
        </w:rPr>
        <w:t xml:space="preserve"> </w:t>
      </w:r>
      <w:r w:rsidRPr="002E5315">
        <w:rPr>
          <w:rFonts w:cstheme="minorHAnsi"/>
          <w:szCs w:val="23"/>
        </w:rPr>
        <w:t>zastupljeni kao</w:t>
      </w:r>
      <w:r w:rsidR="00954DB8" w:rsidRPr="002E5315">
        <w:rPr>
          <w:rFonts w:cstheme="minorHAnsi"/>
          <w:szCs w:val="23"/>
        </w:rPr>
        <w:t xml:space="preserve"> </w:t>
      </w:r>
      <w:r w:rsidRPr="002E5315">
        <w:rPr>
          <w:rFonts w:cstheme="minorHAnsi"/>
          <w:szCs w:val="23"/>
        </w:rPr>
        <w:t>u prethodnim godinama (ispod 5%).</w:t>
      </w:r>
    </w:p>
    <w:p w14:paraId="195B26AA" w14:textId="10386A36" w:rsidR="005307B5" w:rsidRPr="002E5315" w:rsidRDefault="005307B5" w:rsidP="005307B5">
      <w:pPr>
        <w:keepNext/>
        <w:shd w:val="clear" w:color="auto" w:fill="FFFFFF" w:themeFill="background1"/>
        <w:spacing w:before="240"/>
        <w:rPr>
          <w:sz w:val="20"/>
          <w:szCs w:val="20"/>
        </w:rPr>
      </w:pPr>
      <w:r w:rsidRPr="002E5315">
        <w:rPr>
          <w:sz w:val="20"/>
          <w:szCs w:val="20"/>
        </w:rPr>
        <w:t xml:space="preserve">Tablica </w:t>
      </w:r>
      <w:r w:rsidR="00C14A07" w:rsidRPr="002E5315">
        <w:rPr>
          <w:sz w:val="20"/>
          <w:szCs w:val="20"/>
        </w:rPr>
        <w:t>3</w:t>
      </w:r>
      <w:r w:rsidRPr="002E5315">
        <w:rPr>
          <w:sz w:val="20"/>
          <w:szCs w:val="20"/>
        </w:rPr>
        <w:t>.</w:t>
      </w:r>
      <w:r w:rsidR="00C14A07" w:rsidRPr="002E5315">
        <w:rPr>
          <w:sz w:val="20"/>
          <w:szCs w:val="20"/>
        </w:rPr>
        <w:t>2</w:t>
      </w:r>
      <w:r w:rsidRPr="002E5315">
        <w:rPr>
          <w:sz w:val="20"/>
          <w:szCs w:val="20"/>
        </w:rPr>
        <w:t>. Udio u žalbama prema podnositeljima</w:t>
      </w:r>
    </w:p>
    <w:tbl>
      <w:tblPr>
        <w:tblW w:w="9072" w:type="dxa"/>
        <w:jc w:val="center"/>
        <w:tblBorders>
          <w:top w:val="single" w:sz="8" w:space="0" w:color="4F81BD"/>
          <w:bottom w:val="single" w:sz="8" w:space="0" w:color="4F81BD"/>
        </w:tblBorders>
        <w:tblLayout w:type="fixed"/>
        <w:tblLook w:val="04A0" w:firstRow="1" w:lastRow="0" w:firstColumn="1" w:lastColumn="0" w:noHBand="0" w:noVBand="1"/>
      </w:tblPr>
      <w:tblGrid>
        <w:gridCol w:w="4820"/>
        <w:gridCol w:w="2126"/>
        <w:gridCol w:w="2126"/>
      </w:tblGrid>
      <w:tr w:rsidR="005307B5" w:rsidRPr="002E5315" w14:paraId="03A24CBC" w14:textId="77777777" w:rsidTr="005307B5">
        <w:trPr>
          <w:trHeight w:val="284"/>
          <w:jc w:val="center"/>
        </w:trPr>
        <w:tc>
          <w:tcPr>
            <w:tcW w:w="4820" w:type="dxa"/>
            <w:tcBorders>
              <w:top w:val="single" w:sz="8" w:space="0" w:color="4F81BD"/>
              <w:left w:val="nil"/>
              <w:bottom w:val="single" w:sz="8" w:space="0" w:color="4F81BD"/>
              <w:right w:val="nil"/>
            </w:tcBorders>
            <w:shd w:val="clear" w:color="auto" w:fill="auto"/>
            <w:noWrap/>
            <w:vAlign w:val="center"/>
            <w:hideMark/>
          </w:tcPr>
          <w:p w14:paraId="58E70A5E" w14:textId="77777777" w:rsidR="005307B5" w:rsidRPr="002E5315" w:rsidRDefault="005307B5" w:rsidP="005307B5">
            <w:pPr>
              <w:rPr>
                <w:b/>
                <w:bCs/>
                <w:sz w:val="20"/>
                <w:szCs w:val="20"/>
              </w:rPr>
            </w:pPr>
            <w:r w:rsidRPr="002E5315">
              <w:rPr>
                <w:b/>
                <w:bCs/>
                <w:sz w:val="20"/>
                <w:szCs w:val="20"/>
              </w:rPr>
              <w:t xml:space="preserve">Podnositelji žalbi </w:t>
            </w:r>
          </w:p>
        </w:tc>
        <w:tc>
          <w:tcPr>
            <w:tcW w:w="2126" w:type="dxa"/>
            <w:tcBorders>
              <w:top w:val="single" w:sz="8" w:space="0" w:color="4F81BD"/>
              <w:left w:val="nil"/>
              <w:bottom w:val="single" w:sz="8" w:space="0" w:color="4F81BD"/>
              <w:right w:val="nil"/>
            </w:tcBorders>
            <w:shd w:val="clear" w:color="auto" w:fill="auto"/>
            <w:noWrap/>
            <w:vAlign w:val="center"/>
            <w:hideMark/>
          </w:tcPr>
          <w:p w14:paraId="3285A459" w14:textId="77777777" w:rsidR="005307B5" w:rsidRPr="002E5315" w:rsidRDefault="005307B5" w:rsidP="005307B5">
            <w:pPr>
              <w:jc w:val="center"/>
              <w:rPr>
                <w:b/>
                <w:bCs/>
                <w:sz w:val="20"/>
                <w:szCs w:val="20"/>
              </w:rPr>
            </w:pPr>
            <w:r w:rsidRPr="002E5315">
              <w:rPr>
                <w:b/>
                <w:bCs/>
                <w:sz w:val="20"/>
                <w:szCs w:val="20"/>
              </w:rPr>
              <w:t>Broj</w:t>
            </w:r>
          </w:p>
        </w:tc>
        <w:tc>
          <w:tcPr>
            <w:tcW w:w="2126" w:type="dxa"/>
            <w:tcBorders>
              <w:top w:val="single" w:sz="8" w:space="0" w:color="4F81BD"/>
              <w:left w:val="nil"/>
              <w:bottom w:val="single" w:sz="8" w:space="0" w:color="4F81BD"/>
              <w:right w:val="nil"/>
            </w:tcBorders>
            <w:shd w:val="clear" w:color="auto" w:fill="auto"/>
            <w:vAlign w:val="center"/>
          </w:tcPr>
          <w:p w14:paraId="4BFEA8E6" w14:textId="77777777" w:rsidR="005307B5" w:rsidRPr="002E5315" w:rsidRDefault="005307B5" w:rsidP="005307B5">
            <w:pPr>
              <w:jc w:val="center"/>
              <w:rPr>
                <w:b/>
                <w:bCs/>
                <w:sz w:val="20"/>
                <w:szCs w:val="20"/>
              </w:rPr>
            </w:pPr>
            <w:r w:rsidRPr="002E5315">
              <w:rPr>
                <w:b/>
                <w:bCs/>
                <w:sz w:val="20"/>
                <w:szCs w:val="20"/>
              </w:rPr>
              <w:t>Udio (%)</w:t>
            </w:r>
          </w:p>
        </w:tc>
      </w:tr>
      <w:tr w:rsidR="005307B5" w:rsidRPr="002E5315" w14:paraId="60C8BFDE" w14:textId="77777777" w:rsidTr="00756407">
        <w:trPr>
          <w:trHeight w:val="284"/>
          <w:jc w:val="center"/>
        </w:trPr>
        <w:tc>
          <w:tcPr>
            <w:tcW w:w="4820" w:type="dxa"/>
            <w:tcBorders>
              <w:left w:val="nil"/>
              <w:right w:val="nil"/>
            </w:tcBorders>
            <w:shd w:val="clear" w:color="auto" w:fill="D9E2F3" w:themeFill="accent1" w:themeFillTint="33"/>
            <w:noWrap/>
            <w:vAlign w:val="center"/>
            <w:hideMark/>
          </w:tcPr>
          <w:p w14:paraId="04667F39" w14:textId="77777777" w:rsidR="005307B5" w:rsidRPr="002E5315" w:rsidRDefault="005307B5" w:rsidP="005307B5">
            <w:pPr>
              <w:rPr>
                <w:b/>
                <w:bCs/>
                <w:sz w:val="20"/>
                <w:szCs w:val="20"/>
              </w:rPr>
            </w:pPr>
            <w:r w:rsidRPr="002E5315">
              <w:rPr>
                <w:bCs/>
                <w:sz w:val="20"/>
                <w:szCs w:val="20"/>
              </w:rPr>
              <w:t xml:space="preserve">Fizičke osobe – građani </w:t>
            </w:r>
          </w:p>
        </w:tc>
        <w:tc>
          <w:tcPr>
            <w:tcW w:w="2126" w:type="dxa"/>
            <w:tcBorders>
              <w:left w:val="nil"/>
              <w:right w:val="nil"/>
            </w:tcBorders>
            <w:shd w:val="clear" w:color="auto" w:fill="D9E2F3" w:themeFill="accent1" w:themeFillTint="33"/>
            <w:noWrap/>
            <w:vAlign w:val="center"/>
          </w:tcPr>
          <w:p w14:paraId="6B2B66A6" w14:textId="77777777" w:rsidR="005307B5" w:rsidRPr="002E5315" w:rsidRDefault="005307B5" w:rsidP="005307B5">
            <w:pPr>
              <w:jc w:val="center"/>
              <w:rPr>
                <w:sz w:val="20"/>
                <w:szCs w:val="20"/>
              </w:rPr>
            </w:pPr>
            <w:r w:rsidRPr="002E5315">
              <w:rPr>
                <w:sz w:val="20"/>
                <w:szCs w:val="20"/>
              </w:rPr>
              <w:t>602</w:t>
            </w:r>
          </w:p>
        </w:tc>
        <w:tc>
          <w:tcPr>
            <w:tcW w:w="2126" w:type="dxa"/>
            <w:tcBorders>
              <w:left w:val="nil"/>
              <w:right w:val="nil"/>
            </w:tcBorders>
            <w:shd w:val="clear" w:color="auto" w:fill="D9E2F3" w:themeFill="accent1" w:themeFillTint="33"/>
            <w:vAlign w:val="center"/>
          </w:tcPr>
          <w:p w14:paraId="7B0DF04D" w14:textId="77777777" w:rsidR="005307B5" w:rsidRPr="002E5315" w:rsidRDefault="005307B5" w:rsidP="005307B5">
            <w:pPr>
              <w:jc w:val="center"/>
              <w:rPr>
                <w:sz w:val="20"/>
                <w:szCs w:val="20"/>
              </w:rPr>
            </w:pPr>
            <w:r w:rsidRPr="002E5315">
              <w:rPr>
                <w:rFonts w:cs="Arial"/>
                <w:sz w:val="20"/>
                <w:szCs w:val="20"/>
                <w:lang w:eastAsia="en-US"/>
              </w:rPr>
              <w:t>73.96</w:t>
            </w:r>
          </w:p>
        </w:tc>
      </w:tr>
      <w:tr w:rsidR="005307B5" w:rsidRPr="002E5315" w14:paraId="7648A8AE" w14:textId="77777777" w:rsidTr="005307B5">
        <w:trPr>
          <w:trHeight w:val="284"/>
          <w:jc w:val="center"/>
        </w:trPr>
        <w:tc>
          <w:tcPr>
            <w:tcW w:w="4820" w:type="dxa"/>
            <w:shd w:val="clear" w:color="auto" w:fill="auto"/>
            <w:noWrap/>
            <w:vAlign w:val="center"/>
            <w:hideMark/>
          </w:tcPr>
          <w:p w14:paraId="10759845" w14:textId="77777777" w:rsidR="005307B5" w:rsidRPr="002E5315" w:rsidRDefault="005307B5" w:rsidP="005307B5">
            <w:pPr>
              <w:rPr>
                <w:b/>
                <w:bCs/>
                <w:sz w:val="20"/>
                <w:szCs w:val="20"/>
              </w:rPr>
            </w:pPr>
            <w:r w:rsidRPr="002E5315">
              <w:rPr>
                <w:bCs/>
                <w:sz w:val="20"/>
                <w:szCs w:val="20"/>
              </w:rPr>
              <w:t>Fizičke osobe - vijećnici i sl.</w:t>
            </w:r>
          </w:p>
        </w:tc>
        <w:tc>
          <w:tcPr>
            <w:tcW w:w="2126" w:type="dxa"/>
            <w:shd w:val="clear" w:color="auto" w:fill="auto"/>
            <w:noWrap/>
            <w:vAlign w:val="center"/>
          </w:tcPr>
          <w:p w14:paraId="0A5F42C5" w14:textId="77777777" w:rsidR="005307B5" w:rsidRPr="002E5315" w:rsidRDefault="005307B5" w:rsidP="005307B5">
            <w:pPr>
              <w:jc w:val="center"/>
              <w:rPr>
                <w:sz w:val="20"/>
                <w:szCs w:val="20"/>
              </w:rPr>
            </w:pPr>
            <w:r w:rsidRPr="002E5315">
              <w:rPr>
                <w:sz w:val="20"/>
                <w:szCs w:val="20"/>
              </w:rPr>
              <w:t>33</w:t>
            </w:r>
          </w:p>
        </w:tc>
        <w:tc>
          <w:tcPr>
            <w:tcW w:w="2126" w:type="dxa"/>
            <w:shd w:val="clear" w:color="auto" w:fill="auto"/>
            <w:vAlign w:val="center"/>
          </w:tcPr>
          <w:p w14:paraId="03913FC9" w14:textId="77777777" w:rsidR="005307B5" w:rsidRPr="002E5315" w:rsidRDefault="005307B5" w:rsidP="005307B5">
            <w:pPr>
              <w:jc w:val="center"/>
              <w:rPr>
                <w:sz w:val="20"/>
                <w:szCs w:val="20"/>
              </w:rPr>
            </w:pPr>
            <w:r w:rsidRPr="002E5315">
              <w:rPr>
                <w:rFonts w:cs="Arial"/>
                <w:sz w:val="20"/>
                <w:szCs w:val="20"/>
                <w:lang w:eastAsia="en-US"/>
              </w:rPr>
              <w:t>4.05</w:t>
            </w:r>
          </w:p>
        </w:tc>
      </w:tr>
      <w:tr w:rsidR="005307B5" w:rsidRPr="002E5315" w14:paraId="4AED222C" w14:textId="77777777" w:rsidTr="00756407">
        <w:trPr>
          <w:trHeight w:val="284"/>
          <w:jc w:val="center"/>
        </w:trPr>
        <w:tc>
          <w:tcPr>
            <w:tcW w:w="4820" w:type="dxa"/>
            <w:tcBorders>
              <w:left w:val="nil"/>
              <w:right w:val="nil"/>
            </w:tcBorders>
            <w:shd w:val="clear" w:color="auto" w:fill="D9E2F3" w:themeFill="accent1" w:themeFillTint="33"/>
            <w:noWrap/>
            <w:vAlign w:val="center"/>
            <w:hideMark/>
          </w:tcPr>
          <w:p w14:paraId="5C7C10EC" w14:textId="77777777" w:rsidR="005307B5" w:rsidRPr="002E5315" w:rsidRDefault="005307B5" w:rsidP="005307B5">
            <w:pPr>
              <w:rPr>
                <w:b/>
                <w:bCs/>
                <w:sz w:val="20"/>
                <w:szCs w:val="20"/>
              </w:rPr>
            </w:pPr>
            <w:r w:rsidRPr="002E5315">
              <w:rPr>
                <w:bCs/>
                <w:sz w:val="20"/>
                <w:szCs w:val="20"/>
              </w:rPr>
              <w:t>Fizičke osobe – novinari</w:t>
            </w:r>
          </w:p>
        </w:tc>
        <w:tc>
          <w:tcPr>
            <w:tcW w:w="2126" w:type="dxa"/>
            <w:tcBorders>
              <w:left w:val="nil"/>
              <w:right w:val="nil"/>
            </w:tcBorders>
            <w:shd w:val="clear" w:color="auto" w:fill="D9E2F3" w:themeFill="accent1" w:themeFillTint="33"/>
            <w:noWrap/>
            <w:vAlign w:val="center"/>
          </w:tcPr>
          <w:p w14:paraId="1EA2155D" w14:textId="77777777" w:rsidR="005307B5" w:rsidRPr="002E5315" w:rsidRDefault="005307B5" w:rsidP="005307B5">
            <w:pPr>
              <w:jc w:val="center"/>
              <w:rPr>
                <w:sz w:val="20"/>
                <w:szCs w:val="20"/>
              </w:rPr>
            </w:pPr>
            <w:r w:rsidRPr="002E5315">
              <w:rPr>
                <w:sz w:val="20"/>
                <w:szCs w:val="20"/>
              </w:rPr>
              <w:t>37</w:t>
            </w:r>
          </w:p>
        </w:tc>
        <w:tc>
          <w:tcPr>
            <w:tcW w:w="2126" w:type="dxa"/>
            <w:tcBorders>
              <w:left w:val="nil"/>
              <w:right w:val="nil"/>
            </w:tcBorders>
            <w:shd w:val="clear" w:color="auto" w:fill="D9E2F3" w:themeFill="accent1" w:themeFillTint="33"/>
            <w:vAlign w:val="center"/>
          </w:tcPr>
          <w:p w14:paraId="4B1A4C47" w14:textId="77777777" w:rsidR="005307B5" w:rsidRPr="002E5315" w:rsidRDefault="005307B5" w:rsidP="005307B5">
            <w:pPr>
              <w:jc w:val="center"/>
              <w:rPr>
                <w:sz w:val="20"/>
                <w:szCs w:val="20"/>
              </w:rPr>
            </w:pPr>
            <w:r w:rsidRPr="002E5315">
              <w:rPr>
                <w:rFonts w:cs="Arial"/>
                <w:sz w:val="20"/>
                <w:szCs w:val="20"/>
                <w:lang w:eastAsia="en-US"/>
              </w:rPr>
              <w:t>4.55</w:t>
            </w:r>
          </w:p>
        </w:tc>
      </w:tr>
      <w:tr w:rsidR="005307B5" w:rsidRPr="002E5315" w14:paraId="5A165205" w14:textId="77777777" w:rsidTr="005307B5">
        <w:trPr>
          <w:trHeight w:val="284"/>
          <w:jc w:val="center"/>
        </w:trPr>
        <w:tc>
          <w:tcPr>
            <w:tcW w:w="4820" w:type="dxa"/>
            <w:shd w:val="clear" w:color="auto" w:fill="auto"/>
            <w:noWrap/>
            <w:vAlign w:val="center"/>
            <w:hideMark/>
          </w:tcPr>
          <w:p w14:paraId="0644DEC9" w14:textId="77777777" w:rsidR="005307B5" w:rsidRPr="002E5315" w:rsidRDefault="005307B5" w:rsidP="005307B5">
            <w:pPr>
              <w:rPr>
                <w:b/>
                <w:bCs/>
                <w:sz w:val="20"/>
                <w:szCs w:val="20"/>
              </w:rPr>
            </w:pPr>
            <w:r w:rsidRPr="002E5315">
              <w:rPr>
                <w:bCs/>
                <w:sz w:val="20"/>
                <w:szCs w:val="20"/>
              </w:rPr>
              <w:t>Pravne osobe - udruge/sindikati</w:t>
            </w:r>
          </w:p>
        </w:tc>
        <w:tc>
          <w:tcPr>
            <w:tcW w:w="2126" w:type="dxa"/>
            <w:shd w:val="clear" w:color="auto" w:fill="auto"/>
            <w:noWrap/>
            <w:vAlign w:val="center"/>
          </w:tcPr>
          <w:p w14:paraId="1B236E9B" w14:textId="77777777" w:rsidR="005307B5" w:rsidRPr="002E5315" w:rsidRDefault="005307B5" w:rsidP="005307B5">
            <w:pPr>
              <w:jc w:val="center"/>
              <w:rPr>
                <w:sz w:val="20"/>
                <w:szCs w:val="20"/>
              </w:rPr>
            </w:pPr>
            <w:r w:rsidRPr="002E5315">
              <w:rPr>
                <w:sz w:val="20"/>
                <w:szCs w:val="20"/>
              </w:rPr>
              <w:t>99</w:t>
            </w:r>
          </w:p>
        </w:tc>
        <w:tc>
          <w:tcPr>
            <w:tcW w:w="2126" w:type="dxa"/>
            <w:shd w:val="clear" w:color="auto" w:fill="auto"/>
            <w:vAlign w:val="center"/>
          </w:tcPr>
          <w:p w14:paraId="395702E1" w14:textId="77777777" w:rsidR="005307B5" w:rsidRPr="002E5315" w:rsidRDefault="005307B5" w:rsidP="005307B5">
            <w:pPr>
              <w:jc w:val="center"/>
              <w:rPr>
                <w:rFonts w:cs="Arial"/>
                <w:sz w:val="20"/>
                <w:szCs w:val="20"/>
                <w:lang w:eastAsia="en-US"/>
              </w:rPr>
            </w:pPr>
            <w:r w:rsidRPr="002E5315">
              <w:rPr>
                <w:rFonts w:cs="Arial"/>
                <w:sz w:val="20"/>
                <w:szCs w:val="20"/>
                <w:lang w:eastAsia="en-US"/>
              </w:rPr>
              <w:t>12.16</w:t>
            </w:r>
          </w:p>
        </w:tc>
      </w:tr>
      <w:tr w:rsidR="005307B5" w:rsidRPr="002E5315" w14:paraId="7B78E842" w14:textId="77777777" w:rsidTr="00756407">
        <w:trPr>
          <w:trHeight w:val="284"/>
          <w:jc w:val="center"/>
        </w:trPr>
        <w:tc>
          <w:tcPr>
            <w:tcW w:w="4820" w:type="dxa"/>
            <w:tcBorders>
              <w:left w:val="nil"/>
              <w:right w:val="nil"/>
            </w:tcBorders>
            <w:shd w:val="clear" w:color="auto" w:fill="D9E2F3" w:themeFill="accent1" w:themeFillTint="33"/>
            <w:noWrap/>
            <w:vAlign w:val="center"/>
            <w:hideMark/>
          </w:tcPr>
          <w:p w14:paraId="25557351" w14:textId="77777777" w:rsidR="005307B5" w:rsidRPr="002E5315" w:rsidRDefault="005307B5" w:rsidP="005307B5">
            <w:pPr>
              <w:rPr>
                <w:b/>
                <w:bCs/>
                <w:sz w:val="20"/>
                <w:szCs w:val="20"/>
              </w:rPr>
            </w:pPr>
            <w:r w:rsidRPr="002E5315">
              <w:rPr>
                <w:bCs/>
                <w:sz w:val="20"/>
                <w:szCs w:val="20"/>
              </w:rPr>
              <w:t>Pravne osobe - trgovačka društva</w:t>
            </w:r>
          </w:p>
        </w:tc>
        <w:tc>
          <w:tcPr>
            <w:tcW w:w="2126" w:type="dxa"/>
            <w:tcBorders>
              <w:left w:val="nil"/>
              <w:right w:val="nil"/>
            </w:tcBorders>
            <w:shd w:val="clear" w:color="auto" w:fill="D9E2F3" w:themeFill="accent1" w:themeFillTint="33"/>
            <w:noWrap/>
            <w:vAlign w:val="center"/>
          </w:tcPr>
          <w:p w14:paraId="5A35BAAC" w14:textId="77777777" w:rsidR="005307B5" w:rsidRPr="002E5315" w:rsidRDefault="005307B5" w:rsidP="005307B5">
            <w:pPr>
              <w:jc w:val="center"/>
              <w:rPr>
                <w:sz w:val="20"/>
                <w:szCs w:val="20"/>
              </w:rPr>
            </w:pPr>
            <w:r w:rsidRPr="002E5315">
              <w:rPr>
                <w:sz w:val="20"/>
                <w:szCs w:val="20"/>
              </w:rPr>
              <w:t>30</w:t>
            </w:r>
          </w:p>
        </w:tc>
        <w:tc>
          <w:tcPr>
            <w:tcW w:w="2126" w:type="dxa"/>
            <w:tcBorders>
              <w:left w:val="nil"/>
              <w:right w:val="nil"/>
            </w:tcBorders>
            <w:shd w:val="clear" w:color="auto" w:fill="D9E2F3" w:themeFill="accent1" w:themeFillTint="33"/>
            <w:vAlign w:val="center"/>
          </w:tcPr>
          <w:p w14:paraId="5A4746ED" w14:textId="77777777" w:rsidR="005307B5" w:rsidRPr="002E5315" w:rsidRDefault="005307B5" w:rsidP="005307B5">
            <w:pPr>
              <w:jc w:val="center"/>
              <w:rPr>
                <w:sz w:val="20"/>
                <w:szCs w:val="20"/>
              </w:rPr>
            </w:pPr>
            <w:r w:rsidRPr="002E5315">
              <w:rPr>
                <w:rFonts w:cs="Arial"/>
                <w:sz w:val="20"/>
                <w:szCs w:val="20"/>
                <w:lang w:eastAsia="en-US"/>
              </w:rPr>
              <w:t>3.69</w:t>
            </w:r>
          </w:p>
        </w:tc>
      </w:tr>
      <w:tr w:rsidR="005307B5" w:rsidRPr="002E5315" w14:paraId="477E5F1E" w14:textId="77777777" w:rsidTr="005307B5">
        <w:trPr>
          <w:trHeight w:val="284"/>
          <w:jc w:val="center"/>
        </w:trPr>
        <w:tc>
          <w:tcPr>
            <w:tcW w:w="4820" w:type="dxa"/>
            <w:shd w:val="clear" w:color="auto" w:fill="auto"/>
            <w:noWrap/>
            <w:vAlign w:val="center"/>
            <w:hideMark/>
          </w:tcPr>
          <w:p w14:paraId="687316F9" w14:textId="77777777" w:rsidR="005307B5" w:rsidRPr="002E5315" w:rsidRDefault="005307B5" w:rsidP="005307B5">
            <w:pPr>
              <w:rPr>
                <w:b/>
                <w:bCs/>
                <w:sz w:val="20"/>
                <w:szCs w:val="20"/>
              </w:rPr>
            </w:pPr>
            <w:r w:rsidRPr="002E5315">
              <w:rPr>
                <w:bCs/>
                <w:color w:val="000000"/>
                <w:sz w:val="20"/>
                <w:szCs w:val="20"/>
              </w:rPr>
              <w:t xml:space="preserve">Ostale pravne osobe </w:t>
            </w:r>
          </w:p>
        </w:tc>
        <w:tc>
          <w:tcPr>
            <w:tcW w:w="2126" w:type="dxa"/>
            <w:shd w:val="clear" w:color="auto" w:fill="auto"/>
            <w:noWrap/>
            <w:vAlign w:val="center"/>
          </w:tcPr>
          <w:p w14:paraId="224536FC" w14:textId="77777777" w:rsidR="005307B5" w:rsidRPr="002E5315" w:rsidRDefault="005307B5" w:rsidP="005307B5">
            <w:pPr>
              <w:jc w:val="center"/>
              <w:rPr>
                <w:sz w:val="20"/>
                <w:szCs w:val="20"/>
              </w:rPr>
            </w:pPr>
            <w:r w:rsidRPr="002E5315">
              <w:rPr>
                <w:sz w:val="20"/>
                <w:szCs w:val="20"/>
              </w:rPr>
              <w:t>13</w:t>
            </w:r>
          </w:p>
        </w:tc>
        <w:tc>
          <w:tcPr>
            <w:tcW w:w="2126" w:type="dxa"/>
            <w:shd w:val="clear" w:color="auto" w:fill="auto"/>
            <w:vAlign w:val="center"/>
          </w:tcPr>
          <w:p w14:paraId="545B23EF" w14:textId="77777777" w:rsidR="005307B5" w:rsidRPr="002E5315" w:rsidRDefault="005307B5" w:rsidP="005307B5">
            <w:pPr>
              <w:jc w:val="center"/>
              <w:rPr>
                <w:sz w:val="20"/>
                <w:szCs w:val="20"/>
              </w:rPr>
            </w:pPr>
            <w:r w:rsidRPr="002E5315">
              <w:rPr>
                <w:rFonts w:cs="Arial"/>
                <w:sz w:val="20"/>
                <w:szCs w:val="20"/>
                <w:lang w:eastAsia="en-US"/>
              </w:rPr>
              <w:t>1.60</w:t>
            </w:r>
          </w:p>
        </w:tc>
      </w:tr>
      <w:tr w:rsidR="005307B5" w:rsidRPr="002E5315" w14:paraId="70B0D5F0" w14:textId="77777777" w:rsidTr="00756407">
        <w:trPr>
          <w:trHeight w:val="284"/>
          <w:jc w:val="center"/>
        </w:trPr>
        <w:tc>
          <w:tcPr>
            <w:tcW w:w="4820" w:type="dxa"/>
            <w:tcBorders>
              <w:left w:val="nil"/>
              <w:right w:val="nil"/>
            </w:tcBorders>
            <w:shd w:val="clear" w:color="auto" w:fill="D9E2F3" w:themeFill="accent1" w:themeFillTint="33"/>
            <w:noWrap/>
            <w:vAlign w:val="center"/>
            <w:hideMark/>
          </w:tcPr>
          <w:p w14:paraId="5613CCD3" w14:textId="77777777" w:rsidR="005307B5" w:rsidRPr="002E5315" w:rsidRDefault="005307B5" w:rsidP="005307B5">
            <w:pPr>
              <w:rPr>
                <w:b/>
                <w:bCs/>
                <w:sz w:val="20"/>
                <w:szCs w:val="20"/>
              </w:rPr>
            </w:pPr>
            <w:r w:rsidRPr="002E5315">
              <w:rPr>
                <w:b/>
                <w:bCs/>
                <w:sz w:val="20"/>
                <w:szCs w:val="20"/>
              </w:rPr>
              <w:t>Ukupno</w:t>
            </w:r>
          </w:p>
        </w:tc>
        <w:tc>
          <w:tcPr>
            <w:tcW w:w="2126" w:type="dxa"/>
            <w:tcBorders>
              <w:left w:val="nil"/>
              <w:right w:val="nil"/>
            </w:tcBorders>
            <w:shd w:val="clear" w:color="auto" w:fill="D9E2F3" w:themeFill="accent1" w:themeFillTint="33"/>
            <w:noWrap/>
            <w:vAlign w:val="center"/>
          </w:tcPr>
          <w:p w14:paraId="50A5AD11" w14:textId="77777777" w:rsidR="005307B5" w:rsidRPr="002E5315" w:rsidRDefault="005307B5" w:rsidP="005307B5">
            <w:pPr>
              <w:jc w:val="center"/>
              <w:rPr>
                <w:sz w:val="20"/>
                <w:szCs w:val="20"/>
              </w:rPr>
            </w:pPr>
            <w:r w:rsidRPr="002E5315">
              <w:rPr>
                <w:sz w:val="20"/>
                <w:szCs w:val="20"/>
              </w:rPr>
              <w:t>814</w:t>
            </w:r>
          </w:p>
        </w:tc>
        <w:tc>
          <w:tcPr>
            <w:tcW w:w="2126" w:type="dxa"/>
            <w:tcBorders>
              <w:left w:val="nil"/>
              <w:right w:val="nil"/>
            </w:tcBorders>
            <w:shd w:val="clear" w:color="auto" w:fill="D9E2F3" w:themeFill="accent1" w:themeFillTint="33"/>
            <w:vAlign w:val="center"/>
          </w:tcPr>
          <w:p w14:paraId="7EED4D06" w14:textId="77777777" w:rsidR="005307B5" w:rsidRPr="002E5315" w:rsidRDefault="005307B5" w:rsidP="005307B5">
            <w:pPr>
              <w:jc w:val="center"/>
              <w:rPr>
                <w:sz w:val="20"/>
                <w:szCs w:val="20"/>
              </w:rPr>
            </w:pPr>
            <w:r w:rsidRPr="002E5315">
              <w:rPr>
                <w:rFonts w:cs="Arial"/>
                <w:sz w:val="20"/>
                <w:szCs w:val="20"/>
                <w:lang w:eastAsia="en-US"/>
              </w:rPr>
              <w:t>100.00</w:t>
            </w:r>
          </w:p>
        </w:tc>
      </w:tr>
    </w:tbl>
    <w:p w14:paraId="2B3D4C71" w14:textId="77777777" w:rsidR="00633D93" w:rsidRDefault="005823CA" w:rsidP="005823CA">
      <w:pPr>
        <w:spacing w:before="240"/>
        <w:rPr>
          <w:rFonts w:cstheme="minorBidi"/>
          <w:szCs w:val="23"/>
        </w:rPr>
      </w:pPr>
      <w:r w:rsidRPr="002E5315">
        <w:rPr>
          <w:rFonts w:cstheme="minorBidi"/>
          <w:szCs w:val="23"/>
        </w:rPr>
        <w:t>Iz podataka je vidljivo da je mali broj izjavljenih žalbi od stane fizičkih osoba koje su naglašavale svojstvo člana predstavničkog tijela. Unatoč tome, tijekom 2019. se aktualiziralo pitanje ostvarivanja prava na pristup informacijama članova predstavničkih tijela tijekom rasprave o Izvješću o provedbi ZPPI-ja što je rezultiralo time da je na 12. sjednici dana 14. lipnja 2019. Hrvatski sabor nakon rasprave o Izvješću o provedbi ZPPI-ja za 2018. donio Zaključak prema kojem su tijela javne vlasti dužna odgovarati na zahtjeve za pristup informacijama i kada ih podnose članovi predstavničkih tijela (Hrvatskog sabora, Gradske skupštine Grada Zagreba, županijskih skupština te općinskih i gradskih vijeća), bez obzira na njihovo pravo na podnošenje zastupničkih i vijećničkih pitanja</w:t>
      </w:r>
      <w:r w:rsidR="00633D93">
        <w:rPr>
          <w:rFonts w:cstheme="minorBidi"/>
          <w:szCs w:val="23"/>
        </w:rPr>
        <w:t>.</w:t>
      </w:r>
    </w:p>
    <w:p w14:paraId="1F20EB1F" w14:textId="3C15CBEE" w:rsidR="005823CA" w:rsidRPr="002E5315" w:rsidRDefault="005823CA" w:rsidP="005823CA">
      <w:pPr>
        <w:rPr>
          <w:rFonts w:cstheme="minorHAnsi"/>
          <w:szCs w:val="23"/>
        </w:rPr>
      </w:pPr>
      <w:r w:rsidRPr="002E5315">
        <w:rPr>
          <w:rFonts w:cstheme="minorHAnsi"/>
          <w:szCs w:val="23"/>
        </w:rPr>
        <w:lastRenderedPageBreak/>
        <w:t>S obzirom da je nakon donošenja navedenog Zaključka uočeno da pojedina tijela javne vlasti ne postupaju sukladno odredbama ZPPI-ja i Zaključku Hrvatskog sabora, Povjerenik je donio dodatne smjernice u kolovozu 2019. u svrhu usklađenja provedbe ZPPI-ja pri rješavanju zahtjeva za pristup informacijama koje podnose zastupnici ili vijećnici predstavničkih tijela, koje su objavljene na internetskoj stranici Povjerenika</w:t>
      </w:r>
      <w:r w:rsidR="00954DB8" w:rsidRPr="002E5315">
        <w:rPr>
          <w:rFonts w:cstheme="minorHAnsi"/>
          <w:szCs w:val="23"/>
        </w:rPr>
        <w:t xml:space="preserve"> </w:t>
      </w:r>
      <w:r w:rsidRPr="002E5315">
        <w:rPr>
          <w:rFonts w:cstheme="minorHAnsi"/>
          <w:szCs w:val="23"/>
        </w:rPr>
        <w:t>i dodatno poslane tijelima javne vlasti koja imaju predstavnička tijela.</w:t>
      </w:r>
    </w:p>
    <w:p w14:paraId="50A0C8E7" w14:textId="77777777" w:rsidR="005823CA" w:rsidRPr="002E5315" w:rsidRDefault="005823CA" w:rsidP="005823CA">
      <w:pPr>
        <w:rPr>
          <w:rFonts w:cstheme="minorHAnsi"/>
          <w:szCs w:val="23"/>
        </w:rPr>
      </w:pPr>
      <w:r w:rsidRPr="002E5315">
        <w:rPr>
          <w:rFonts w:cstheme="minorHAnsi"/>
          <w:szCs w:val="23"/>
        </w:rPr>
        <w:t>Kao i u posljednjih nekoliko godina i tijekom 2019. je zadržan trend izjavljivanja velikog broja žalbi od strane istih fizičkih osoba, osobito na određena tijela javne vlasti, što tijela često doživljavaju kao zlouporabu prava, a dio tijela javne vlasti i koristi kao zakonsku mogućnost odbijanja zahtjeva zbog zlouporabe prava.</w:t>
      </w:r>
    </w:p>
    <w:p w14:paraId="0D70374A" w14:textId="77777777" w:rsidR="005823CA" w:rsidRPr="002E5315" w:rsidRDefault="005823CA" w:rsidP="005823CA">
      <w:pPr>
        <w:rPr>
          <w:rFonts w:cstheme="minorHAnsi"/>
          <w:szCs w:val="23"/>
        </w:rPr>
      </w:pPr>
      <w:r w:rsidRPr="002E5315">
        <w:rPr>
          <w:rFonts w:cstheme="minorHAnsi"/>
          <w:szCs w:val="23"/>
        </w:rPr>
        <w:t xml:space="preserve">Od svih žalbi zaprimljenih tijekom 2019., najveći pojedinačni broj žalbi, </w:t>
      </w:r>
      <w:r w:rsidRPr="002E5315">
        <w:rPr>
          <w:rFonts w:cstheme="minorHAnsi"/>
          <w:b/>
          <w:szCs w:val="23"/>
        </w:rPr>
        <w:t>289 ili 35,5% je podneseno od strane 12 žalitelja</w:t>
      </w:r>
      <w:r w:rsidRPr="002E5315">
        <w:rPr>
          <w:rFonts w:cstheme="minorHAnsi"/>
          <w:szCs w:val="23"/>
        </w:rPr>
        <w:t>. Tako je jedan žalitelj podnio 125 ili 15,36% svih zaprimljenih žalbi, drugi 23 žalbe, zatim su pojedini žalitelji podnosili 21, 17, i 10 žalbi (u navedene podatke nije uračunat žalitelj čiju su predmeti zaključkom spojeni u jedan i koji je ukupno izjavio 47 žalbi).</w:t>
      </w:r>
    </w:p>
    <w:p w14:paraId="168C7E73" w14:textId="38468D9D" w:rsidR="005823CA" w:rsidRPr="002E5315" w:rsidRDefault="005823CA" w:rsidP="005823CA">
      <w:pPr>
        <w:rPr>
          <w:rFonts w:cstheme="minorHAnsi"/>
          <w:szCs w:val="23"/>
        </w:rPr>
      </w:pPr>
      <w:r w:rsidRPr="002E5315">
        <w:rPr>
          <w:rFonts w:cstheme="minorHAnsi"/>
          <w:szCs w:val="23"/>
        </w:rPr>
        <w:t>Osim za tijela javne vlasti trend izjavljivanja velikog broja žalbi, osobito od strane istog žalitelja počevši od 2017., predstavlja i za Povjerenika dodatno opterećenje, jer taj žalitelj, ne samo da izjavljuje žalbe, nego za svaki slučaj nerješavanja žalbe u zakonskim rokovima, pokreće upravne sporove koristeći uslugu odvjetnika i na taj način izlaže Povjerenika, a</w:t>
      </w:r>
      <w:r w:rsidR="00954DB8" w:rsidRPr="002E5315">
        <w:rPr>
          <w:rFonts w:cstheme="minorHAnsi"/>
          <w:szCs w:val="23"/>
        </w:rPr>
        <w:t xml:space="preserve"> </w:t>
      </w:r>
      <w:r w:rsidRPr="002E5315">
        <w:rPr>
          <w:rFonts w:cstheme="minorHAnsi"/>
          <w:szCs w:val="23"/>
        </w:rPr>
        <w:t>time i državni proračun troškovima upravnog spora.</w:t>
      </w:r>
    </w:p>
    <w:p w14:paraId="489FB3FE" w14:textId="77777777" w:rsidR="00633D93" w:rsidRDefault="005823CA" w:rsidP="005823CA">
      <w:pPr>
        <w:rPr>
          <w:rFonts w:cstheme="minorHAnsi"/>
          <w:szCs w:val="23"/>
        </w:rPr>
      </w:pPr>
      <w:r w:rsidRPr="002E5315">
        <w:rPr>
          <w:rFonts w:cstheme="minorHAnsi"/>
          <w:szCs w:val="23"/>
        </w:rPr>
        <w:t>Važno je za istaknuti da Povjerenik u važećem ZPPI-ju nema mehanizam koji bi spriječio</w:t>
      </w:r>
      <w:r w:rsidR="00954DB8" w:rsidRPr="002E5315">
        <w:rPr>
          <w:rFonts w:cstheme="minorHAnsi"/>
          <w:szCs w:val="23"/>
        </w:rPr>
        <w:t xml:space="preserve"> </w:t>
      </w:r>
      <w:r w:rsidRPr="002E5315">
        <w:rPr>
          <w:rFonts w:cstheme="minorHAnsi"/>
          <w:szCs w:val="23"/>
        </w:rPr>
        <w:t>postupanja koja imaju za cilj preopteretiti Povjerenika sa žalbama ili drugim podnescima, kako bi se Povjerenik bavio samo određenim pojedincem i uzimao prioritetno u rad te predmete, a kako bi ublažio štetu koja nastaje za proračun Povjerenika (a također i za državni proračun). Pri tome napominjemo, da je tijekom 2019. u 64 ili 36,16% slučajeva upravni spor pokrenut zbog nerješavanja žalbe u zakonskim rokovima (tzv. šutnja uprave), odnosno da je isti korisnik pokrenuo 48,59% svih upravnih sporova u 2019</w:t>
      </w:r>
      <w:r w:rsidR="00633D93">
        <w:rPr>
          <w:rFonts w:cstheme="minorHAnsi"/>
          <w:szCs w:val="23"/>
        </w:rPr>
        <w:t>.</w:t>
      </w:r>
    </w:p>
    <w:p w14:paraId="6B118658" w14:textId="69AA62DD" w:rsidR="005307B5" w:rsidRPr="002E5315" w:rsidRDefault="005823CA" w:rsidP="005823CA">
      <w:pPr>
        <w:rPr>
          <w:rFonts w:cstheme="minorHAnsi"/>
          <w:szCs w:val="23"/>
        </w:rPr>
      </w:pPr>
      <w:r w:rsidRPr="002E5315">
        <w:rPr>
          <w:rFonts w:cstheme="minorHAnsi"/>
          <w:szCs w:val="23"/>
        </w:rPr>
        <w:t>Ako se izuzmu podaci o broju podnesenih žalbi (125) od strane istog korisnika, ostali podaci ukazuju da građani imaju aktivnu ulogu u traženju informacija i da su oni ti koji potiču transparentnost rada tijela javne vlasti</w:t>
      </w:r>
      <w:r w:rsidR="005307B5" w:rsidRPr="002E5315">
        <w:rPr>
          <w:rFonts w:cstheme="minorHAnsi"/>
          <w:szCs w:val="23"/>
        </w:rPr>
        <w:t>.</w:t>
      </w:r>
    </w:p>
    <w:p w14:paraId="1A5BD389" w14:textId="1B43B802" w:rsidR="005307B5" w:rsidRPr="002E5315" w:rsidRDefault="005307B5" w:rsidP="00892BF9">
      <w:pPr>
        <w:pStyle w:val="Naslov3"/>
      </w:pPr>
      <w:bookmarkStart w:id="19" w:name="_Toc36308924"/>
      <w:r w:rsidRPr="002E5315">
        <w:t>Razvrstavanje žalbi prema tijelima javne vlasti</w:t>
      </w:r>
      <w:bookmarkEnd w:id="19"/>
      <w:r w:rsidRPr="002E5315">
        <w:t xml:space="preserve"> </w:t>
      </w:r>
    </w:p>
    <w:p w14:paraId="342B19B1" w14:textId="07DB1CA7" w:rsidR="001A6DCF" w:rsidRPr="002E5315" w:rsidRDefault="001A6DCF" w:rsidP="001A6DCF">
      <w:pPr>
        <w:shd w:val="clear" w:color="auto" w:fill="FFFFFF" w:themeFill="background1"/>
        <w:tabs>
          <w:tab w:val="left" w:pos="-1843"/>
        </w:tabs>
        <w:rPr>
          <w:rFonts w:cstheme="minorHAnsi"/>
          <w:strike/>
          <w:szCs w:val="23"/>
        </w:rPr>
      </w:pPr>
      <w:r w:rsidRPr="002E5315">
        <w:rPr>
          <w:rFonts w:cstheme="minorHAnsi"/>
          <w:szCs w:val="23"/>
        </w:rPr>
        <w:t xml:space="preserve">Od ukupnog broja žalbi izjavljenih u 2019. (Tablica 3.3.), </w:t>
      </w:r>
      <w:r w:rsidRPr="002E5315">
        <w:rPr>
          <w:rFonts w:cstheme="minorHAnsi"/>
          <w:b/>
          <w:szCs w:val="23"/>
        </w:rPr>
        <w:t>najveći broj žalbi (207 ili 25,43%) odnosio se na zahtjeve upućene JLP(R)S i tijelima državne uprave (130 ili 15,97%).</w:t>
      </w:r>
    </w:p>
    <w:p w14:paraId="4EC49CD1" w14:textId="7B3A2F1C" w:rsidR="005307B5" w:rsidRPr="002E5315" w:rsidRDefault="001A6DCF" w:rsidP="001A6DCF">
      <w:pPr>
        <w:shd w:val="clear" w:color="auto" w:fill="FFFFFF" w:themeFill="background1"/>
        <w:tabs>
          <w:tab w:val="left" w:pos="-1843"/>
        </w:tabs>
        <w:rPr>
          <w:rFonts w:cstheme="minorHAnsi"/>
          <w:szCs w:val="23"/>
        </w:rPr>
      </w:pPr>
      <w:r w:rsidRPr="002E5315">
        <w:rPr>
          <w:rFonts w:cstheme="minorHAnsi"/>
          <w:szCs w:val="23"/>
        </w:rPr>
        <w:t>Iz usporednog prikaza (Tablica 3.3.) vidljivo je da se u odnosu na 2018., smanjio broj žalbi koje se odnose na zahtjeve upućene pravosudnim tijelima, tijelima državne uprave, a da se povećao broj žalbi koji se odnosi na JLP(R)S, agencije i ostale pravne osobe s javnim ovlastima te</w:t>
      </w:r>
      <w:r w:rsidR="00954DB8" w:rsidRPr="002E5315">
        <w:rPr>
          <w:rFonts w:cstheme="minorHAnsi"/>
          <w:szCs w:val="23"/>
        </w:rPr>
        <w:t xml:space="preserve"> </w:t>
      </w:r>
      <w:r w:rsidRPr="002E5315">
        <w:rPr>
          <w:rFonts w:cstheme="minorHAnsi"/>
          <w:szCs w:val="23"/>
        </w:rPr>
        <w:t>trgovačka društva u vlasništvu RH</w:t>
      </w:r>
      <w:r w:rsidR="005307B5" w:rsidRPr="002E5315">
        <w:rPr>
          <w:rFonts w:cstheme="minorHAnsi"/>
          <w:szCs w:val="23"/>
        </w:rPr>
        <w:t>.</w:t>
      </w:r>
    </w:p>
    <w:p w14:paraId="67C0DF8E" w14:textId="43AC3EEC" w:rsidR="005307B5" w:rsidRPr="002E5315" w:rsidRDefault="005307B5" w:rsidP="005307B5">
      <w:pPr>
        <w:keepNext/>
        <w:tabs>
          <w:tab w:val="left" w:pos="-1843"/>
        </w:tabs>
        <w:spacing w:before="240"/>
        <w:rPr>
          <w:rFonts w:cs="Arial"/>
          <w:sz w:val="20"/>
          <w:szCs w:val="20"/>
        </w:rPr>
      </w:pPr>
      <w:r w:rsidRPr="002E5315">
        <w:rPr>
          <w:rFonts w:cs="Arial"/>
          <w:sz w:val="20"/>
          <w:szCs w:val="20"/>
        </w:rPr>
        <w:lastRenderedPageBreak/>
        <w:t xml:space="preserve">Tablica </w:t>
      </w:r>
      <w:r w:rsidR="00892BF9" w:rsidRPr="002E5315">
        <w:rPr>
          <w:rFonts w:cs="Arial"/>
          <w:sz w:val="20"/>
          <w:szCs w:val="20"/>
        </w:rPr>
        <w:t>3</w:t>
      </w:r>
      <w:r w:rsidRPr="002E5315">
        <w:rPr>
          <w:rFonts w:cs="Arial"/>
          <w:sz w:val="20"/>
          <w:szCs w:val="20"/>
        </w:rPr>
        <w:t>.</w:t>
      </w:r>
      <w:r w:rsidR="00892BF9" w:rsidRPr="002E5315">
        <w:rPr>
          <w:rFonts w:cs="Arial"/>
          <w:sz w:val="20"/>
          <w:szCs w:val="20"/>
        </w:rPr>
        <w:t>3</w:t>
      </w:r>
      <w:r w:rsidRPr="002E5315">
        <w:rPr>
          <w:rFonts w:cs="Arial"/>
          <w:sz w:val="20"/>
          <w:szCs w:val="20"/>
        </w:rPr>
        <w:t>. Žalbe na odluke o pristupu informacijama 2018. i 2019. prema vrstama tijela javne vlasti</w:t>
      </w:r>
    </w:p>
    <w:tbl>
      <w:tblPr>
        <w:tblStyle w:val="ListTable2-Accent11"/>
        <w:tblW w:w="9070" w:type="dxa"/>
        <w:jc w:val="center"/>
        <w:tblLayout w:type="fixed"/>
        <w:tblLook w:val="04A0" w:firstRow="1" w:lastRow="0" w:firstColumn="1" w:lastColumn="0" w:noHBand="0" w:noVBand="1"/>
      </w:tblPr>
      <w:tblGrid>
        <w:gridCol w:w="2834"/>
        <w:gridCol w:w="1559"/>
        <w:gridCol w:w="1559"/>
        <w:gridCol w:w="1559"/>
        <w:gridCol w:w="1559"/>
      </w:tblGrid>
      <w:tr w:rsidR="005307B5" w:rsidRPr="002E5315" w14:paraId="576EAFF5" w14:textId="77777777" w:rsidTr="00892BF9">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hideMark/>
          </w:tcPr>
          <w:p w14:paraId="6D4D3E6C" w14:textId="77777777" w:rsidR="005307B5" w:rsidRPr="002E5315" w:rsidRDefault="005307B5" w:rsidP="005307B5">
            <w:pPr>
              <w:spacing w:after="160"/>
              <w:rPr>
                <w:b w:val="0"/>
                <w:bCs w:val="0"/>
                <w:sz w:val="20"/>
                <w:szCs w:val="20"/>
              </w:rPr>
            </w:pPr>
          </w:p>
        </w:tc>
        <w:tc>
          <w:tcPr>
            <w:tcW w:w="3118" w:type="dxa"/>
            <w:gridSpan w:val="2"/>
          </w:tcPr>
          <w:p w14:paraId="4760AE65"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E5315">
              <w:rPr>
                <w:b w:val="0"/>
                <w:bCs w:val="0"/>
                <w:sz w:val="20"/>
                <w:szCs w:val="20"/>
              </w:rPr>
              <w:t>2018.</w:t>
            </w:r>
          </w:p>
        </w:tc>
        <w:tc>
          <w:tcPr>
            <w:tcW w:w="3118" w:type="dxa"/>
            <w:gridSpan w:val="2"/>
          </w:tcPr>
          <w:p w14:paraId="630F2797"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E5315">
              <w:rPr>
                <w:b w:val="0"/>
                <w:bCs w:val="0"/>
                <w:sz w:val="20"/>
                <w:szCs w:val="20"/>
              </w:rPr>
              <w:t>2019.</w:t>
            </w:r>
          </w:p>
        </w:tc>
      </w:tr>
      <w:tr w:rsidR="005307B5" w:rsidRPr="002E5315" w14:paraId="67D6ABC9" w14:textId="77777777" w:rsidTr="00892BF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hideMark/>
          </w:tcPr>
          <w:p w14:paraId="4C613D9E" w14:textId="77777777" w:rsidR="005307B5" w:rsidRPr="002E5315" w:rsidRDefault="005307B5" w:rsidP="005307B5">
            <w:pPr>
              <w:rPr>
                <w:b w:val="0"/>
                <w:bCs w:val="0"/>
                <w:sz w:val="20"/>
                <w:szCs w:val="20"/>
              </w:rPr>
            </w:pPr>
            <w:r w:rsidRPr="002E5315">
              <w:rPr>
                <w:b w:val="0"/>
                <w:bCs w:val="0"/>
                <w:sz w:val="20"/>
                <w:szCs w:val="20"/>
              </w:rPr>
              <w:t>Tijela javne vlasti</w:t>
            </w:r>
          </w:p>
        </w:tc>
        <w:tc>
          <w:tcPr>
            <w:tcW w:w="1559" w:type="dxa"/>
          </w:tcPr>
          <w:p w14:paraId="4985BAA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E5315">
              <w:rPr>
                <w:b/>
                <w:bCs/>
                <w:sz w:val="20"/>
                <w:szCs w:val="20"/>
              </w:rPr>
              <w:t>Broj žalbi</w:t>
            </w:r>
          </w:p>
        </w:tc>
        <w:tc>
          <w:tcPr>
            <w:tcW w:w="1559" w:type="dxa"/>
          </w:tcPr>
          <w:p w14:paraId="2A5673DB"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E5315">
              <w:rPr>
                <w:b/>
                <w:bCs/>
                <w:sz w:val="20"/>
                <w:szCs w:val="20"/>
              </w:rPr>
              <w:t>Udio žalbi (%)</w:t>
            </w:r>
          </w:p>
        </w:tc>
        <w:tc>
          <w:tcPr>
            <w:tcW w:w="1559" w:type="dxa"/>
          </w:tcPr>
          <w:p w14:paraId="51A77492"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E5315">
              <w:rPr>
                <w:b/>
                <w:bCs/>
                <w:sz w:val="20"/>
                <w:szCs w:val="20"/>
              </w:rPr>
              <w:t>Broj žalbi</w:t>
            </w:r>
          </w:p>
        </w:tc>
        <w:tc>
          <w:tcPr>
            <w:tcW w:w="1559" w:type="dxa"/>
          </w:tcPr>
          <w:p w14:paraId="202FE0F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2E5315">
              <w:rPr>
                <w:b/>
                <w:bCs/>
                <w:sz w:val="20"/>
                <w:szCs w:val="20"/>
              </w:rPr>
              <w:t>Udio žalbi (%)</w:t>
            </w:r>
          </w:p>
        </w:tc>
      </w:tr>
      <w:tr w:rsidR="005307B5" w:rsidRPr="002E5315" w14:paraId="61223899" w14:textId="77777777" w:rsidTr="00892BF9">
        <w:trPr>
          <w:trHeight w:val="284"/>
          <w:jc w:val="center"/>
        </w:trPr>
        <w:tc>
          <w:tcPr>
            <w:cnfStyle w:val="001000000000" w:firstRow="0" w:lastRow="0" w:firstColumn="1" w:lastColumn="0" w:oddVBand="0" w:evenVBand="0" w:oddHBand="0" w:evenHBand="0" w:firstRowFirstColumn="0" w:firstRowLastColumn="0" w:lastRowFirstColumn="0" w:lastRowLastColumn="0"/>
            <w:tcW w:w="2834" w:type="dxa"/>
            <w:hideMark/>
          </w:tcPr>
          <w:p w14:paraId="31893D79" w14:textId="77777777" w:rsidR="005307B5" w:rsidRPr="002E5315" w:rsidRDefault="005307B5" w:rsidP="0067115C">
            <w:pPr>
              <w:jc w:val="left"/>
              <w:rPr>
                <w:b w:val="0"/>
                <w:sz w:val="20"/>
                <w:szCs w:val="20"/>
              </w:rPr>
            </w:pPr>
            <w:r w:rsidRPr="002E5315">
              <w:rPr>
                <w:b w:val="0"/>
                <w:sz w:val="20"/>
                <w:szCs w:val="20"/>
              </w:rPr>
              <w:t xml:space="preserve">Državna tijela </w:t>
            </w:r>
          </w:p>
        </w:tc>
        <w:tc>
          <w:tcPr>
            <w:tcW w:w="1559" w:type="dxa"/>
          </w:tcPr>
          <w:p w14:paraId="790823AB"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27</w:t>
            </w:r>
          </w:p>
        </w:tc>
        <w:tc>
          <w:tcPr>
            <w:tcW w:w="1559" w:type="dxa"/>
          </w:tcPr>
          <w:p w14:paraId="484D59B9"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2,67</w:t>
            </w:r>
          </w:p>
        </w:tc>
        <w:tc>
          <w:tcPr>
            <w:tcW w:w="1559" w:type="dxa"/>
          </w:tcPr>
          <w:p w14:paraId="5A77D8C2"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35</w:t>
            </w:r>
          </w:p>
        </w:tc>
        <w:tc>
          <w:tcPr>
            <w:tcW w:w="1559" w:type="dxa"/>
          </w:tcPr>
          <w:p w14:paraId="42C3806A"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rFonts w:cs="Arial"/>
                <w:sz w:val="20"/>
                <w:szCs w:val="20"/>
                <w:lang w:eastAsia="en-US"/>
              </w:rPr>
              <w:t>4.30</w:t>
            </w:r>
          </w:p>
        </w:tc>
      </w:tr>
      <w:tr w:rsidR="005307B5" w:rsidRPr="002E5315" w14:paraId="38AF057E" w14:textId="77777777" w:rsidTr="00892BF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hideMark/>
          </w:tcPr>
          <w:p w14:paraId="78E23A78" w14:textId="77777777" w:rsidR="005307B5" w:rsidRPr="002E5315" w:rsidRDefault="005307B5" w:rsidP="0067115C">
            <w:pPr>
              <w:jc w:val="left"/>
              <w:rPr>
                <w:b w:val="0"/>
                <w:sz w:val="20"/>
                <w:szCs w:val="20"/>
              </w:rPr>
            </w:pPr>
            <w:r w:rsidRPr="002E5315">
              <w:rPr>
                <w:b w:val="0"/>
                <w:sz w:val="20"/>
                <w:szCs w:val="20"/>
              </w:rPr>
              <w:t>Tijela državne uprave</w:t>
            </w:r>
          </w:p>
        </w:tc>
        <w:tc>
          <w:tcPr>
            <w:tcW w:w="1559" w:type="dxa"/>
          </w:tcPr>
          <w:p w14:paraId="19E9F53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177</w:t>
            </w:r>
          </w:p>
        </w:tc>
        <w:tc>
          <w:tcPr>
            <w:tcW w:w="1559" w:type="dxa"/>
          </w:tcPr>
          <w:p w14:paraId="3F714746"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17,52</w:t>
            </w:r>
          </w:p>
        </w:tc>
        <w:tc>
          <w:tcPr>
            <w:tcW w:w="1559" w:type="dxa"/>
          </w:tcPr>
          <w:p w14:paraId="77C831C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118</w:t>
            </w:r>
          </w:p>
        </w:tc>
        <w:tc>
          <w:tcPr>
            <w:tcW w:w="1559" w:type="dxa"/>
          </w:tcPr>
          <w:p w14:paraId="562A87F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rFonts w:cs="Arial"/>
                <w:sz w:val="20"/>
                <w:szCs w:val="20"/>
                <w:lang w:eastAsia="en-US"/>
              </w:rPr>
              <w:t>14.50</w:t>
            </w:r>
          </w:p>
        </w:tc>
      </w:tr>
      <w:tr w:rsidR="005307B5" w:rsidRPr="002E5315" w14:paraId="13021A20" w14:textId="77777777" w:rsidTr="00892BF9">
        <w:trPr>
          <w:trHeight w:val="284"/>
          <w:jc w:val="center"/>
        </w:trPr>
        <w:tc>
          <w:tcPr>
            <w:cnfStyle w:val="001000000000" w:firstRow="0" w:lastRow="0" w:firstColumn="1" w:lastColumn="0" w:oddVBand="0" w:evenVBand="0" w:oddHBand="0" w:evenHBand="0" w:firstRowFirstColumn="0" w:firstRowLastColumn="0" w:lastRowFirstColumn="0" w:lastRowLastColumn="0"/>
            <w:tcW w:w="2834" w:type="dxa"/>
            <w:hideMark/>
          </w:tcPr>
          <w:p w14:paraId="2D7288CB" w14:textId="77777777" w:rsidR="005307B5" w:rsidRPr="002E5315" w:rsidRDefault="005307B5" w:rsidP="0067115C">
            <w:pPr>
              <w:jc w:val="left"/>
              <w:rPr>
                <w:b w:val="0"/>
                <w:sz w:val="20"/>
                <w:szCs w:val="20"/>
              </w:rPr>
            </w:pPr>
            <w:r w:rsidRPr="002E5315">
              <w:rPr>
                <w:b w:val="0"/>
                <w:sz w:val="20"/>
                <w:szCs w:val="20"/>
              </w:rPr>
              <w:t>JLP(R)S</w:t>
            </w:r>
          </w:p>
        </w:tc>
        <w:tc>
          <w:tcPr>
            <w:tcW w:w="1559" w:type="dxa"/>
          </w:tcPr>
          <w:p w14:paraId="1DF69B4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202</w:t>
            </w:r>
          </w:p>
        </w:tc>
        <w:tc>
          <w:tcPr>
            <w:tcW w:w="1559" w:type="dxa"/>
          </w:tcPr>
          <w:p w14:paraId="18B0C4B9"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20,00</w:t>
            </w:r>
          </w:p>
        </w:tc>
        <w:tc>
          <w:tcPr>
            <w:tcW w:w="1559" w:type="dxa"/>
          </w:tcPr>
          <w:p w14:paraId="5077A853"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207</w:t>
            </w:r>
          </w:p>
        </w:tc>
        <w:tc>
          <w:tcPr>
            <w:tcW w:w="1559" w:type="dxa"/>
          </w:tcPr>
          <w:p w14:paraId="19815E0F"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rFonts w:cs="Arial"/>
                <w:sz w:val="20"/>
                <w:szCs w:val="20"/>
                <w:lang w:eastAsia="en-US"/>
              </w:rPr>
              <w:t>25.43</w:t>
            </w:r>
          </w:p>
        </w:tc>
      </w:tr>
      <w:tr w:rsidR="005307B5" w:rsidRPr="002E5315" w14:paraId="3BB509DD" w14:textId="77777777" w:rsidTr="00892BF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hideMark/>
          </w:tcPr>
          <w:p w14:paraId="52B10BB3" w14:textId="77777777" w:rsidR="005307B5" w:rsidRPr="002E5315" w:rsidRDefault="005307B5" w:rsidP="0067115C">
            <w:pPr>
              <w:jc w:val="left"/>
              <w:rPr>
                <w:b w:val="0"/>
                <w:sz w:val="20"/>
                <w:szCs w:val="20"/>
              </w:rPr>
            </w:pPr>
            <w:r w:rsidRPr="002E5315">
              <w:rPr>
                <w:b w:val="0"/>
                <w:sz w:val="20"/>
                <w:szCs w:val="20"/>
              </w:rPr>
              <w:t>Pravosudna tijela</w:t>
            </w:r>
          </w:p>
        </w:tc>
        <w:tc>
          <w:tcPr>
            <w:tcW w:w="1559" w:type="dxa"/>
          </w:tcPr>
          <w:p w14:paraId="6D1AB634"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123</w:t>
            </w:r>
          </w:p>
        </w:tc>
        <w:tc>
          <w:tcPr>
            <w:tcW w:w="1559" w:type="dxa"/>
          </w:tcPr>
          <w:p w14:paraId="34CCE37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12,18</w:t>
            </w:r>
          </w:p>
        </w:tc>
        <w:tc>
          <w:tcPr>
            <w:tcW w:w="1559" w:type="dxa"/>
          </w:tcPr>
          <w:p w14:paraId="333F791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58</w:t>
            </w:r>
          </w:p>
        </w:tc>
        <w:tc>
          <w:tcPr>
            <w:tcW w:w="1559" w:type="dxa"/>
          </w:tcPr>
          <w:p w14:paraId="251542EB"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rFonts w:cs="Arial"/>
                <w:sz w:val="20"/>
                <w:szCs w:val="20"/>
                <w:lang w:eastAsia="en-US"/>
              </w:rPr>
              <w:t>7.13</w:t>
            </w:r>
          </w:p>
        </w:tc>
      </w:tr>
      <w:tr w:rsidR="005307B5" w:rsidRPr="002E5315" w14:paraId="4D385D9C" w14:textId="77777777" w:rsidTr="00892BF9">
        <w:trPr>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2B482A9E" w14:textId="77777777" w:rsidR="005307B5" w:rsidRPr="002E5315" w:rsidRDefault="005307B5" w:rsidP="0067115C">
            <w:pPr>
              <w:jc w:val="left"/>
              <w:rPr>
                <w:b w:val="0"/>
                <w:sz w:val="20"/>
                <w:szCs w:val="20"/>
              </w:rPr>
            </w:pPr>
            <w:r w:rsidRPr="002E5315">
              <w:rPr>
                <w:rFonts w:cs="Calibri"/>
                <w:b w:val="0"/>
                <w:color w:val="000000"/>
                <w:sz w:val="20"/>
                <w:szCs w:val="20"/>
              </w:rPr>
              <w:t xml:space="preserve">Agencije i druge pravne osobe s </w:t>
            </w:r>
            <w:r w:rsidRPr="002E5315">
              <w:rPr>
                <w:rFonts w:cs="Calibri"/>
                <w:b w:val="0"/>
                <w:sz w:val="20"/>
                <w:szCs w:val="20"/>
              </w:rPr>
              <w:t xml:space="preserve">javnim ovlastima </w:t>
            </w:r>
          </w:p>
        </w:tc>
        <w:tc>
          <w:tcPr>
            <w:tcW w:w="1559" w:type="dxa"/>
          </w:tcPr>
          <w:p w14:paraId="0A97C63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74</w:t>
            </w:r>
          </w:p>
        </w:tc>
        <w:tc>
          <w:tcPr>
            <w:tcW w:w="1559" w:type="dxa"/>
          </w:tcPr>
          <w:p w14:paraId="7B9D0000"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7,33</w:t>
            </w:r>
          </w:p>
        </w:tc>
        <w:tc>
          <w:tcPr>
            <w:tcW w:w="1559" w:type="dxa"/>
          </w:tcPr>
          <w:p w14:paraId="51160B24"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85</w:t>
            </w:r>
          </w:p>
        </w:tc>
        <w:tc>
          <w:tcPr>
            <w:tcW w:w="1559" w:type="dxa"/>
          </w:tcPr>
          <w:p w14:paraId="55B649C1"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rFonts w:cs="Arial"/>
                <w:sz w:val="20"/>
                <w:szCs w:val="20"/>
                <w:lang w:eastAsia="en-US"/>
              </w:rPr>
              <w:t>10.44</w:t>
            </w:r>
          </w:p>
        </w:tc>
      </w:tr>
      <w:tr w:rsidR="005307B5" w:rsidRPr="002E5315" w14:paraId="7971EA6C" w14:textId="77777777" w:rsidTr="00892BF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066C041D" w14:textId="77777777" w:rsidR="005307B5" w:rsidRPr="002E5315" w:rsidRDefault="005307B5" w:rsidP="0067115C">
            <w:pPr>
              <w:jc w:val="left"/>
              <w:rPr>
                <w:b w:val="0"/>
                <w:sz w:val="20"/>
                <w:szCs w:val="20"/>
              </w:rPr>
            </w:pPr>
            <w:r w:rsidRPr="002E5315">
              <w:rPr>
                <w:b w:val="0"/>
                <w:sz w:val="20"/>
                <w:szCs w:val="20"/>
              </w:rPr>
              <w:t>Ustanove</w:t>
            </w:r>
          </w:p>
        </w:tc>
        <w:tc>
          <w:tcPr>
            <w:tcW w:w="1559" w:type="dxa"/>
          </w:tcPr>
          <w:p w14:paraId="78E6893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140</w:t>
            </w:r>
          </w:p>
        </w:tc>
        <w:tc>
          <w:tcPr>
            <w:tcW w:w="1559" w:type="dxa"/>
          </w:tcPr>
          <w:p w14:paraId="3F2B54DB"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13,86</w:t>
            </w:r>
          </w:p>
        </w:tc>
        <w:tc>
          <w:tcPr>
            <w:tcW w:w="1559" w:type="dxa"/>
          </w:tcPr>
          <w:p w14:paraId="7C6326D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109</w:t>
            </w:r>
          </w:p>
        </w:tc>
        <w:tc>
          <w:tcPr>
            <w:tcW w:w="1559" w:type="dxa"/>
          </w:tcPr>
          <w:p w14:paraId="02D67C7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rFonts w:cs="Arial"/>
                <w:sz w:val="20"/>
                <w:szCs w:val="20"/>
                <w:lang w:eastAsia="en-US"/>
              </w:rPr>
              <w:t>13.39</w:t>
            </w:r>
          </w:p>
        </w:tc>
      </w:tr>
      <w:tr w:rsidR="005307B5" w:rsidRPr="002E5315" w14:paraId="4D046C45" w14:textId="77777777" w:rsidTr="00892BF9">
        <w:trPr>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223B217B" w14:textId="77777777" w:rsidR="005307B5" w:rsidRPr="002E5315" w:rsidRDefault="005307B5" w:rsidP="0067115C">
            <w:pPr>
              <w:jc w:val="left"/>
              <w:rPr>
                <w:b w:val="0"/>
                <w:sz w:val="20"/>
                <w:szCs w:val="20"/>
              </w:rPr>
            </w:pPr>
            <w:r w:rsidRPr="002E5315">
              <w:rPr>
                <w:b w:val="0"/>
                <w:sz w:val="20"/>
                <w:szCs w:val="20"/>
              </w:rPr>
              <w:t>Trgovačka društva – RH</w:t>
            </w:r>
          </w:p>
        </w:tc>
        <w:tc>
          <w:tcPr>
            <w:tcW w:w="1559" w:type="dxa"/>
          </w:tcPr>
          <w:p w14:paraId="518039FC"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75</w:t>
            </w:r>
          </w:p>
        </w:tc>
        <w:tc>
          <w:tcPr>
            <w:tcW w:w="1559" w:type="dxa"/>
          </w:tcPr>
          <w:p w14:paraId="3F3D4B45"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7,43</w:t>
            </w:r>
          </w:p>
        </w:tc>
        <w:tc>
          <w:tcPr>
            <w:tcW w:w="1559" w:type="dxa"/>
          </w:tcPr>
          <w:p w14:paraId="2D7D5DE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87</w:t>
            </w:r>
          </w:p>
        </w:tc>
        <w:tc>
          <w:tcPr>
            <w:tcW w:w="1559" w:type="dxa"/>
          </w:tcPr>
          <w:p w14:paraId="3D8907F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rFonts w:cs="Arial"/>
                <w:sz w:val="20"/>
                <w:szCs w:val="20"/>
                <w:lang w:eastAsia="en-US"/>
              </w:rPr>
              <w:t>10.69</w:t>
            </w:r>
          </w:p>
        </w:tc>
      </w:tr>
      <w:tr w:rsidR="005307B5" w:rsidRPr="002E5315" w14:paraId="08EA75DB" w14:textId="77777777" w:rsidTr="00892BF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3DBA7A78" w14:textId="77777777" w:rsidR="005307B5" w:rsidRPr="002E5315" w:rsidRDefault="005307B5" w:rsidP="0067115C">
            <w:pPr>
              <w:jc w:val="left"/>
              <w:rPr>
                <w:b w:val="0"/>
                <w:sz w:val="20"/>
                <w:szCs w:val="20"/>
              </w:rPr>
            </w:pPr>
            <w:r w:rsidRPr="002E5315">
              <w:rPr>
                <w:b w:val="0"/>
                <w:sz w:val="20"/>
                <w:szCs w:val="20"/>
              </w:rPr>
              <w:t>Trgovačka društva – JLP(R)S</w:t>
            </w:r>
          </w:p>
        </w:tc>
        <w:tc>
          <w:tcPr>
            <w:tcW w:w="1559" w:type="dxa"/>
          </w:tcPr>
          <w:p w14:paraId="35F91A8C"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95</w:t>
            </w:r>
          </w:p>
        </w:tc>
        <w:tc>
          <w:tcPr>
            <w:tcW w:w="1559" w:type="dxa"/>
          </w:tcPr>
          <w:p w14:paraId="307C353E"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9,41</w:t>
            </w:r>
          </w:p>
        </w:tc>
        <w:tc>
          <w:tcPr>
            <w:tcW w:w="1559" w:type="dxa"/>
          </w:tcPr>
          <w:p w14:paraId="281350D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64</w:t>
            </w:r>
          </w:p>
        </w:tc>
        <w:tc>
          <w:tcPr>
            <w:tcW w:w="1559" w:type="dxa"/>
          </w:tcPr>
          <w:p w14:paraId="0810D5E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rFonts w:cs="Arial"/>
                <w:sz w:val="20"/>
                <w:szCs w:val="20"/>
                <w:lang w:eastAsia="en-US"/>
              </w:rPr>
              <w:t>7.86</w:t>
            </w:r>
          </w:p>
        </w:tc>
      </w:tr>
      <w:tr w:rsidR="005307B5" w:rsidRPr="002E5315" w14:paraId="6CAB074E" w14:textId="77777777" w:rsidTr="00892BF9">
        <w:trPr>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25B806DC" w14:textId="77777777" w:rsidR="005307B5" w:rsidRPr="002E5315" w:rsidRDefault="005307B5" w:rsidP="0067115C">
            <w:pPr>
              <w:jc w:val="left"/>
              <w:rPr>
                <w:b w:val="0"/>
                <w:sz w:val="20"/>
                <w:szCs w:val="20"/>
              </w:rPr>
            </w:pPr>
            <w:r w:rsidRPr="002E5315">
              <w:rPr>
                <w:b w:val="0"/>
                <w:sz w:val="20"/>
                <w:szCs w:val="20"/>
              </w:rPr>
              <w:t>Udruge i komore</w:t>
            </w:r>
          </w:p>
        </w:tc>
        <w:tc>
          <w:tcPr>
            <w:tcW w:w="1559" w:type="dxa"/>
          </w:tcPr>
          <w:p w14:paraId="1FEBF785"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82</w:t>
            </w:r>
          </w:p>
        </w:tc>
        <w:tc>
          <w:tcPr>
            <w:tcW w:w="1559" w:type="dxa"/>
          </w:tcPr>
          <w:p w14:paraId="3A837BB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8,12</w:t>
            </w:r>
          </w:p>
        </w:tc>
        <w:tc>
          <w:tcPr>
            <w:tcW w:w="1559" w:type="dxa"/>
          </w:tcPr>
          <w:p w14:paraId="612ED401"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41</w:t>
            </w:r>
          </w:p>
        </w:tc>
        <w:tc>
          <w:tcPr>
            <w:tcW w:w="1559" w:type="dxa"/>
          </w:tcPr>
          <w:p w14:paraId="5C881C1A"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rFonts w:cs="Arial"/>
                <w:sz w:val="20"/>
                <w:szCs w:val="20"/>
                <w:lang w:eastAsia="en-US"/>
              </w:rPr>
              <w:t>5.04</w:t>
            </w:r>
          </w:p>
        </w:tc>
      </w:tr>
      <w:tr w:rsidR="005307B5" w:rsidRPr="002E5315" w14:paraId="527FC63C" w14:textId="77777777" w:rsidTr="00892BF9">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784430D2" w14:textId="77777777" w:rsidR="005307B5" w:rsidRPr="002E5315" w:rsidRDefault="005307B5" w:rsidP="0067115C">
            <w:pPr>
              <w:jc w:val="left"/>
              <w:rPr>
                <w:b w:val="0"/>
                <w:sz w:val="20"/>
                <w:szCs w:val="20"/>
              </w:rPr>
            </w:pPr>
            <w:r w:rsidRPr="002E5315">
              <w:rPr>
                <w:b w:val="0"/>
                <w:color w:val="000000"/>
                <w:sz w:val="20"/>
                <w:szCs w:val="20"/>
              </w:rPr>
              <w:t xml:space="preserve">Ostale pravne osobe </w:t>
            </w:r>
          </w:p>
        </w:tc>
        <w:tc>
          <w:tcPr>
            <w:tcW w:w="1559" w:type="dxa"/>
          </w:tcPr>
          <w:p w14:paraId="6B11E14C"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15</w:t>
            </w:r>
          </w:p>
        </w:tc>
        <w:tc>
          <w:tcPr>
            <w:tcW w:w="1559" w:type="dxa"/>
          </w:tcPr>
          <w:p w14:paraId="27FD07F0"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1,49</w:t>
            </w:r>
          </w:p>
        </w:tc>
        <w:tc>
          <w:tcPr>
            <w:tcW w:w="1559" w:type="dxa"/>
          </w:tcPr>
          <w:p w14:paraId="3126483F"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sz w:val="20"/>
                <w:szCs w:val="20"/>
              </w:rPr>
              <w:t>10</w:t>
            </w:r>
          </w:p>
        </w:tc>
        <w:tc>
          <w:tcPr>
            <w:tcW w:w="1559" w:type="dxa"/>
          </w:tcPr>
          <w:p w14:paraId="24AE6C5C"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20"/>
                <w:szCs w:val="20"/>
              </w:rPr>
            </w:pPr>
            <w:r w:rsidRPr="002E5315">
              <w:rPr>
                <w:rFonts w:cs="Arial"/>
                <w:sz w:val="20"/>
                <w:szCs w:val="20"/>
                <w:lang w:eastAsia="en-US"/>
              </w:rPr>
              <w:t>1.23</w:t>
            </w:r>
          </w:p>
        </w:tc>
      </w:tr>
      <w:tr w:rsidR="005307B5" w:rsidRPr="002E5315" w14:paraId="6C729233" w14:textId="77777777" w:rsidTr="00892BF9">
        <w:trPr>
          <w:trHeight w:val="284"/>
          <w:jc w:val="center"/>
        </w:trPr>
        <w:tc>
          <w:tcPr>
            <w:cnfStyle w:val="001000000000" w:firstRow="0" w:lastRow="0" w:firstColumn="1" w:lastColumn="0" w:oddVBand="0" w:evenVBand="0" w:oddHBand="0" w:evenHBand="0" w:firstRowFirstColumn="0" w:firstRowLastColumn="0" w:lastRowFirstColumn="0" w:lastRowLastColumn="0"/>
            <w:tcW w:w="2834" w:type="dxa"/>
          </w:tcPr>
          <w:p w14:paraId="0AE4CA36" w14:textId="77777777" w:rsidR="005307B5" w:rsidRPr="002E5315" w:rsidRDefault="005307B5" w:rsidP="005307B5">
            <w:pPr>
              <w:rPr>
                <w:sz w:val="20"/>
                <w:szCs w:val="20"/>
              </w:rPr>
            </w:pPr>
            <w:r w:rsidRPr="002E5315">
              <w:rPr>
                <w:sz w:val="20"/>
                <w:szCs w:val="20"/>
              </w:rPr>
              <w:t>Ukupno</w:t>
            </w:r>
          </w:p>
        </w:tc>
        <w:tc>
          <w:tcPr>
            <w:tcW w:w="1559" w:type="dxa"/>
          </w:tcPr>
          <w:p w14:paraId="062E2800"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1.010</w:t>
            </w:r>
          </w:p>
        </w:tc>
        <w:tc>
          <w:tcPr>
            <w:tcW w:w="1559" w:type="dxa"/>
          </w:tcPr>
          <w:p w14:paraId="33C14C30"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100</w:t>
            </w:r>
          </w:p>
        </w:tc>
        <w:tc>
          <w:tcPr>
            <w:tcW w:w="1559" w:type="dxa"/>
          </w:tcPr>
          <w:p w14:paraId="19948C28"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814</w:t>
            </w:r>
          </w:p>
        </w:tc>
        <w:tc>
          <w:tcPr>
            <w:tcW w:w="1559" w:type="dxa"/>
          </w:tcPr>
          <w:p w14:paraId="72D18F47"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315">
              <w:rPr>
                <w:sz w:val="20"/>
                <w:szCs w:val="20"/>
              </w:rPr>
              <w:t>100</w:t>
            </w:r>
          </w:p>
        </w:tc>
      </w:tr>
    </w:tbl>
    <w:p w14:paraId="26F0C509" w14:textId="340D2DB4" w:rsidR="005307B5" w:rsidRPr="002E5315" w:rsidRDefault="005307B5" w:rsidP="00892BF9">
      <w:pPr>
        <w:pStyle w:val="Naslov2"/>
      </w:pPr>
      <w:bookmarkStart w:id="20" w:name="_Toc36308925"/>
      <w:r w:rsidRPr="002E5315">
        <w:t>Razlozi za odbijanje zahtjeva kao osnova žalbenog postupka</w:t>
      </w:r>
      <w:bookmarkEnd w:id="20"/>
    </w:p>
    <w:p w14:paraId="0432DE95" w14:textId="77777777" w:rsidR="00633D93" w:rsidRDefault="001A6DCF" w:rsidP="001A6DCF">
      <w:pPr>
        <w:shd w:val="clear" w:color="auto" w:fill="FFFFFF" w:themeFill="background1"/>
        <w:rPr>
          <w:rFonts w:cstheme="minorHAnsi"/>
          <w:szCs w:val="23"/>
        </w:rPr>
      </w:pPr>
      <w:r w:rsidRPr="002E5315">
        <w:rPr>
          <w:rFonts w:cstheme="minorHAnsi"/>
          <w:szCs w:val="23"/>
        </w:rPr>
        <w:t>Razlozi za odbijanje i odbacivanje zahtjeva za pristup informacijama su propisani u članku 23. ZPPI-ja, a zakonska ograničenja su propisana člankom 15., od čega za ograničenje iz članka 15. stavka 1. ZPPI-ja (informacije iz prethodnog i kaznenog postupaka za vrijeme trajanja tih postupaka), nije potrebno prije donošenja odluke provesti test razmjernosti i javnog interesa, dok za ostala zakonska ograničenja tijelo javne vlasti ima obvezu prije donošenja odluke provesti test razmjernosti i javnog interesa, pri čemu je potrebno napomenuti da se navedeni test ne provodi kad se radi o informacijama koje se odnose na raspolaganje javnim sredstvima. U slučaju kad su predmet zahtjeva klasificirane informacije, vlasnik informacije prije donošenja odluke ima obvezu zatražiti mišljenje UVNS-a</w:t>
      </w:r>
      <w:r w:rsidR="00633D93">
        <w:rPr>
          <w:rFonts w:cstheme="minorHAnsi"/>
          <w:szCs w:val="23"/>
        </w:rPr>
        <w:t>.</w:t>
      </w:r>
    </w:p>
    <w:p w14:paraId="555F275C" w14:textId="31C8ECD8" w:rsidR="005307B5" w:rsidRPr="002E5315" w:rsidRDefault="001A6DCF" w:rsidP="001A6DCF">
      <w:pPr>
        <w:shd w:val="clear" w:color="auto" w:fill="FFFFFF" w:themeFill="background1"/>
        <w:tabs>
          <w:tab w:val="left" w:pos="-1843"/>
        </w:tabs>
        <w:rPr>
          <w:rFonts w:cstheme="minorHAnsi"/>
          <w:szCs w:val="23"/>
        </w:rPr>
      </w:pPr>
      <w:r w:rsidRPr="002E5315">
        <w:rPr>
          <w:rFonts w:cstheme="minorHAnsi"/>
          <w:color w:val="000000"/>
          <w:szCs w:val="23"/>
        </w:rPr>
        <w:t xml:space="preserve">Prema razlozima za odbijanje i odbacivanje </w:t>
      </w:r>
      <w:r w:rsidRPr="002E5315">
        <w:rPr>
          <w:rFonts w:cstheme="minorHAnsi"/>
          <w:szCs w:val="23"/>
        </w:rPr>
        <w:t>zahtjeva (Tablica 3.4.), tijekom 2019. su žalbe u najvećem broju slučajeva podnošene na rješenja</w:t>
      </w:r>
      <w:r w:rsidR="00954DB8" w:rsidRPr="002E5315">
        <w:rPr>
          <w:rFonts w:cstheme="minorHAnsi"/>
          <w:szCs w:val="23"/>
        </w:rPr>
        <w:t xml:space="preserve"> </w:t>
      </w:r>
      <w:r w:rsidRPr="002E5315">
        <w:rPr>
          <w:rFonts w:cstheme="minorHAnsi"/>
          <w:szCs w:val="23"/>
        </w:rPr>
        <w:t>u kojima su</w:t>
      </w:r>
      <w:r w:rsidR="00954DB8" w:rsidRPr="002E5315">
        <w:rPr>
          <w:rFonts w:cstheme="minorHAnsi"/>
          <w:szCs w:val="23"/>
        </w:rPr>
        <w:t xml:space="preserve"> </w:t>
      </w:r>
      <w:r w:rsidRPr="002E5315">
        <w:rPr>
          <w:rFonts w:cstheme="minorHAnsi"/>
          <w:szCs w:val="23"/>
        </w:rPr>
        <w:t xml:space="preserve">kao </w:t>
      </w:r>
      <w:r w:rsidRPr="002E5315">
        <w:rPr>
          <w:rFonts w:cstheme="minorHAnsi"/>
          <w:b/>
          <w:bCs/>
          <w:szCs w:val="23"/>
        </w:rPr>
        <w:t>razlog odbijanja navedeni</w:t>
      </w:r>
      <w:r w:rsidRPr="002E5315">
        <w:rPr>
          <w:rFonts w:cstheme="minorHAnsi"/>
          <w:szCs w:val="23"/>
        </w:rPr>
        <w:t xml:space="preserve"> </w:t>
      </w:r>
      <w:r w:rsidRPr="002E5315">
        <w:rPr>
          <w:rFonts w:cstheme="minorHAnsi"/>
          <w:b/>
          <w:szCs w:val="23"/>
        </w:rPr>
        <w:t>osobni podaci (20,34%)</w:t>
      </w:r>
      <w:r w:rsidRPr="002E5315">
        <w:rPr>
          <w:rFonts w:cstheme="minorHAnsi"/>
          <w:szCs w:val="23"/>
        </w:rPr>
        <w:t xml:space="preserve">, </w:t>
      </w:r>
      <w:r w:rsidRPr="002E5315">
        <w:rPr>
          <w:rFonts w:cstheme="minorHAnsi"/>
          <w:b/>
          <w:szCs w:val="23"/>
        </w:rPr>
        <w:t>poslovna ili profesionalna tajna (17,48%),</w:t>
      </w:r>
      <w:r w:rsidR="00954DB8" w:rsidRPr="002E5315">
        <w:rPr>
          <w:rFonts w:cstheme="minorHAnsi"/>
          <w:szCs w:val="23"/>
        </w:rPr>
        <w:t xml:space="preserve"> </w:t>
      </w:r>
      <w:r w:rsidRPr="002E5315">
        <w:rPr>
          <w:rFonts w:cstheme="minorHAnsi"/>
          <w:b/>
          <w:szCs w:val="23"/>
        </w:rPr>
        <w:t xml:space="preserve">zlouporaba prava (16,33%), </w:t>
      </w:r>
      <w:r w:rsidRPr="002E5315">
        <w:rPr>
          <w:rFonts w:cstheme="minorHAnsi"/>
          <w:szCs w:val="23"/>
        </w:rPr>
        <w:t>zatim jer</w:t>
      </w:r>
      <w:r w:rsidR="00954DB8" w:rsidRPr="002E5315">
        <w:rPr>
          <w:rFonts w:cstheme="minorHAnsi"/>
          <w:szCs w:val="23"/>
        </w:rPr>
        <w:t xml:space="preserve"> </w:t>
      </w:r>
      <w:r w:rsidRPr="002E5315">
        <w:rPr>
          <w:rFonts w:cstheme="minorHAnsi"/>
          <w:b/>
          <w:szCs w:val="23"/>
        </w:rPr>
        <w:t>tijelo javne vlasti ne posjeduje informaciju (15,47%</w:t>
      </w:r>
      <w:r w:rsidRPr="002E5315">
        <w:rPr>
          <w:rFonts w:cstheme="minorHAnsi"/>
          <w:szCs w:val="23"/>
        </w:rPr>
        <w:t xml:space="preserve">) ili iz razloga što se traži </w:t>
      </w:r>
      <w:r w:rsidRPr="002E5315">
        <w:rPr>
          <w:rFonts w:cstheme="minorHAnsi"/>
          <w:b/>
          <w:szCs w:val="23"/>
        </w:rPr>
        <w:t>informacija koja se ne smatra informacijom u smislu ZPPI-ja (8,60%)</w:t>
      </w:r>
      <w:r w:rsidRPr="002E5315">
        <w:rPr>
          <w:rFonts w:cstheme="minorHAnsi"/>
          <w:szCs w:val="23"/>
        </w:rPr>
        <w:t>. Iz podataka je vidljivo da su tijekom 2019.</w:t>
      </w:r>
      <w:r w:rsidR="00954DB8" w:rsidRPr="002E5315">
        <w:rPr>
          <w:rFonts w:cstheme="minorHAnsi"/>
          <w:szCs w:val="23"/>
        </w:rPr>
        <w:t xml:space="preserve"> </w:t>
      </w:r>
      <w:r w:rsidRPr="002E5315">
        <w:rPr>
          <w:rFonts w:cstheme="minorHAnsi"/>
          <w:szCs w:val="23"/>
        </w:rPr>
        <w:t>izuzetno malo korišteni klasificirani podaci kao razlog za odbijanje (za razliku od 2017.) ili prethodni i kazneni postupak, a također je vidljivo da nije bilo slučaja izjavljivanja žalbi u slučajevima u kojima su se tražile informacije čiji je pristup ograničen sukladno međunarodnim ugovorima ili</w:t>
      </w:r>
      <w:r w:rsidR="00954DB8" w:rsidRPr="002E5315">
        <w:rPr>
          <w:rFonts w:cstheme="minorHAnsi"/>
          <w:szCs w:val="23"/>
        </w:rPr>
        <w:t xml:space="preserve"> </w:t>
      </w:r>
      <w:r w:rsidRPr="002E5315">
        <w:rPr>
          <w:rFonts w:cstheme="minorHAnsi"/>
          <w:szCs w:val="23"/>
        </w:rPr>
        <w:t>informaciji nastaloj u području održavanja diplomatskih odnosa ili koje bi onemogućile rad tijela koja obavljaju upravni nadzor, inspekcijski nadzor ili drugi pravno uređeni postupak, izvršenje sudske odluke ili kazne</w:t>
      </w:r>
      <w:r w:rsidR="005307B5" w:rsidRPr="002E5315">
        <w:rPr>
          <w:rFonts w:cstheme="minorHAnsi"/>
          <w:szCs w:val="23"/>
        </w:rPr>
        <w:t>.</w:t>
      </w:r>
    </w:p>
    <w:p w14:paraId="3E75E8F0" w14:textId="44C9403A" w:rsidR="005307B5" w:rsidRPr="002E5315" w:rsidRDefault="005307B5" w:rsidP="005307B5">
      <w:pPr>
        <w:keepNext/>
        <w:tabs>
          <w:tab w:val="left" w:pos="-1843"/>
        </w:tabs>
        <w:spacing w:before="240"/>
        <w:rPr>
          <w:rFonts w:cs="Arial"/>
          <w:sz w:val="20"/>
          <w:szCs w:val="20"/>
        </w:rPr>
      </w:pPr>
      <w:r w:rsidRPr="002E5315">
        <w:rPr>
          <w:rFonts w:cs="Arial"/>
          <w:sz w:val="20"/>
          <w:szCs w:val="20"/>
        </w:rPr>
        <w:lastRenderedPageBreak/>
        <w:t xml:space="preserve">Tablica </w:t>
      </w:r>
      <w:r w:rsidR="00892BF9" w:rsidRPr="002E5315">
        <w:rPr>
          <w:rFonts w:cs="Arial"/>
          <w:sz w:val="20"/>
          <w:szCs w:val="20"/>
        </w:rPr>
        <w:t>3</w:t>
      </w:r>
      <w:r w:rsidRPr="002E5315">
        <w:rPr>
          <w:rFonts w:cs="Arial"/>
          <w:sz w:val="20"/>
          <w:szCs w:val="20"/>
        </w:rPr>
        <w:t>.</w:t>
      </w:r>
      <w:r w:rsidR="00892BF9" w:rsidRPr="002E5315">
        <w:rPr>
          <w:rFonts w:cs="Arial"/>
          <w:sz w:val="20"/>
          <w:szCs w:val="20"/>
        </w:rPr>
        <w:t>4</w:t>
      </w:r>
      <w:r w:rsidRPr="002E5315">
        <w:rPr>
          <w:rFonts w:cs="Arial"/>
          <w:sz w:val="20"/>
          <w:szCs w:val="20"/>
        </w:rPr>
        <w:t>. Žalbe prema razlozima odbijanja i odbacivanja u 2019.</w:t>
      </w:r>
    </w:p>
    <w:tbl>
      <w:tblPr>
        <w:tblW w:w="9072" w:type="dxa"/>
        <w:jc w:val="center"/>
        <w:tblBorders>
          <w:top w:val="single" w:sz="8" w:space="0" w:color="4F81BD"/>
          <w:bottom w:val="single" w:sz="8" w:space="0" w:color="4F81BD"/>
        </w:tblBorders>
        <w:tblLayout w:type="fixed"/>
        <w:tblLook w:val="04A0" w:firstRow="1" w:lastRow="0" w:firstColumn="1" w:lastColumn="0" w:noHBand="0" w:noVBand="1"/>
      </w:tblPr>
      <w:tblGrid>
        <w:gridCol w:w="4219"/>
        <w:gridCol w:w="1653"/>
        <w:gridCol w:w="1654"/>
        <w:gridCol w:w="1546"/>
      </w:tblGrid>
      <w:tr w:rsidR="005307B5" w:rsidRPr="002E5315" w14:paraId="52F72318" w14:textId="77777777" w:rsidTr="005307B5">
        <w:trPr>
          <w:trHeight w:val="282"/>
          <w:jc w:val="center"/>
        </w:trPr>
        <w:tc>
          <w:tcPr>
            <w:tcW w:w="4219" w:type="dxa"/>
            <w:tcBorders>
              <w:top w:val="single" w:sz="8" w:space="0" w:color="4F81BD"/>
              <w:left w:val="nil"/>
              <w:bottom w:val="single" w:sz="8" w:space="0" w:color="4F81BD"/>
              <w:right w:val="nil"/>
            </w:tcBorders>
            <w:shd w:val="clear" w:color="auto" w:fill="auto"/>
            <w:vAlign w:val="center"/>
            <w:hideMark/>
          </w:tcPr>
          <w:p w14:paraId="4C7603F9" w14:textId="77777777" w:rsidR="005307B5" w:rsidRPr="002E5315" w:rsidRDefault="005307B5" w:rsidP="005307B5">
            <w:pPr>
              <w:jc w:val="center"/>
              <w:rPr>
                <w:b/>
                <w:bCs/>
                <w:sz w:val="20"/>
                <w:szCs w:val="20"/>
              </w:rPr>
            </w:pPr>
          </w:p>
        </w:tc>
        <w:tc>
          <w:tcPr>
            <w:tcW w:w="4853" w:type="dxa"/>
            <w:gridSpan w:val="3"/>
            <w:tcBorders>
              <w:top w:val="single" w:sz="8" w:space="0" w:color="4F81BD"/>
              <w:left w:val="nil"/>
              <w:bottom w:val="single" w:sz="8" w:space="0" w:color="4F81BD"/>
              <w:right w:val="nil"/>
            </w:tcBorders>
            <w:shd w:val="clear" w:color="auto" w:fill="auto"/>
            <w:vAlign w:val="center"/>
          </w:tcPr>
          <w:p w14:paraId="6683378E" w14:textId="77777777" w:rsidR="005307B5" w:rsidRPr="002E5315" w:rsidRDefault="005307B5" w:rsidP="005307B5">
            <w:pPr>
              <w:jc w:val="center"/>
              <w:rPr>
                <w:b/>
                <w:bCs/>
                <w:sz w:val="20"/>
                <w:szCs w:val="20"/>
              </w:rPr>
            </w:pPr>
            <w:r w:rsidRPr="002E5315">
              <w:rPr>
                <w:b/>
                <w:bCs/>
                <w:sz w:val="20"/>
                <w:szCs w:val="20"/>
              </w:rPr>
              <w:t>2019.</w:t>
            </w:r>
          </w:p>
        </w:tc>
      </w:tr>
      <w:tr w:rsidR="005307B5" w:rsidRPr="002E5315" w14:paraId="2C31685F" w14:textId="77777777" w:rsidTr="00756407">
        <w:trPr>
          <w:trHeight w:val="334"/>
          <w:jc w:val="center"/>
        </w:trPr>
        <w:tc>
          <w:tcPr>
            <w:tcW w:w="4219" w:type="dxa"/>
            <w:tcBorders>
              <w:left w:val="nil"/>
              <w:right w:val="nil"/>
            </w:tcBorders>
            <w:shd w:val="clear" w:color="auto" w:fill="D9E2F3" w:themeFill="accent1" w:themeFillTint="33"/>
            <w:vAlign w:val="center"/>
            <w:hideMark/>
          </w:tcPr>
          <w:p w14:paraId="6E0A27C2" w14:textId="77777777" w:rsidR="005307B5" w:rsidRPr="002E5315" w:rsidRDefault="005307B5" w:rsidP="005307B5">
            <w:pPr>
              <w:jc w:val="center"/>
              <w:rPr>
                <w:b/>
                <w:bCs/>
                <w:i/>
                <w:sz w:val="20"/>
                <w:szCs w:val="20"/>
              </w:rPr>
            </w:pPr>
            <w:r w:rsidRPr="002E5315">
              <w:rPr>
                <w:b/>
                <w:bCs/>
                <w:i/>
                <w:sz w:val="20"/>
                <w:szCs w:val="20"/>
              </w:rPr>
              <w:t>Ograničenja</w:t>
            </w:r>
          </w:p>
        </w:tc>
        <w:tc>
          <w:tcPr>
            <w:tcW w:w="1653" w:type="dxa"/>
            <w:tcBorders>
              <w:left w:val="nil"/>
              <w:right w:val="nil"/>
            </w:tcBorders>
            <w:shd w:val="clear" w:color="auto" w:fill="D9E2F3" w:themeFill="accent1" w:themeFillTint="33"/>
            <w:vAlign w:val="center"/>
          </w:tcPr>
          <w:p w14:paraId="16A427BA" w14:textId="77777777" w:rsidR="005307B5" w:rsidRPr="002E5315" w:rsidRDefault="005307B5" w:rsidP="005307B5">
            <w:pPr>
              <w:jc w:val="center"/>
              <w:rPr>
                <w:b/>
                <w:i/>
                <w:sz w:val="20"/>
                <w:szCs w:val="20"/>
              </w:rPr>
            </w:pPr>
            <w:r w:rsidRPr="002E5315">
              <w:rPr>
                <w:b/>
                <w:i/>
                <w:sz w:val="20"/>
                <w:szCs w:val="20"/>
              </w:rPr>
              <w:t>Broj</w:t>
            </w:r>
          </w:p>
        </w:tc>
        <w:tc>
          <w:tcPr>
            <w:tcW w:w="1654" w:type="dxa"/>
            <w:tcBorders>
              <w:left w:val="nil"/>
              <w:right w:val="nil"/>
            </w:tcBorders>
            <w:shd w:val="clear" w:color="auto" w:fill="D9E2F3" w:themeFill="accent1" w:themeFillTint="33"/>
            <w:vAlign w:val="center"/>
          </w:tcPr>
          <w:p w14:paraId="3294D3ED" w14:textId="77777777" w:rsidR="005307B5" w:rsidRPr="002E5315" w:rsidRDefault="005307B5" w:rsidP="005307B5">
            <w:pPr>
              <w:jc w:val="center"/>
              <w:rPr>
                <w:b/>
                <w:i/>
                <w:sz w:val="20"/>
                <w:szCs w:val="20"/>
              </w:rPr>
            </w:pPr>
            <w:r w:rsidRPr="002E5315">
              <w:rPr>
                <w:b/>
                <w:i/>
                <w:sz w:val="20"/>
                <w:szCs w:val="20"/>
              </w:rPr>
              <w:t>Postotak (%)</w:t>
            </w:r>
          </w:p>
        </w:tc>
        <w:tc>
          <w:tcPr>
            <w:tcW w:w="1546" w:type="dxa"/>
            <w:tcBorders>
              <w:left w:val="nil"/>
              <w:right w:val="nil"/>
            </w:tcBorders>
            <w:shd w:val="clear" w:color="auto" w:fill="D9E2F3" w:themeFill="accent1" w:themeFillTint="33"/>
            <w:noWrap/>
            <w:vAlign w:val="center"/>
            <w:hideMark/>
          </w:tcPr>
          <w:p w14:paraId="1292FE45" w14:textId="77777777" w:rsidR="005307B5" w:rsidRPr="002E5315" w:rsidRDefault="005307B5" w:rsidP="005307B5">
            <w:pPr>
              <w:jc w:val="center"/>
              <w:rPr>
                <w:b/>
                <w:i/>
                <w:sz w:val="20"/>
                <w:szCs w:val="20"/>
              </w:rPr>
            </w:pPr>
            <w:r w:rsidRPr="002E5315">
              <w:rPr>
                <w:b/>
                <w:i/>
                <w:sz w:val="20"/>
                <w:szCs w:val="20"/>
              </w:rPr>
              <w:t>Rang</w:t>
            </w:r>
          </w:p>
        </w:tc>
      </w:tr>
      <w:tr w:rsidR="005307B5" w:rsidRPr="002E5315" w14:paraId="64F11FD3" w14:textId="77777777" w:rsidTr="005307B5">
        <w:trPr>
          <w:trHeight w:val="282"/>
          <w:jc w:val="center"/>
        </w:trPr>
        <w:tc>
          <w:tcPr>
            <w:tcW w:w="4219" w:type="dxa"/>
            <w:shd w:val="clear" w:color="auto" w:fill="auto"/>
            <w:vAlign w:val="center"/>
            <w:hideMark/>
          </w:tcPr>
          <w:p w14:paraId="7E7DCD0A" w14:textId="77777777" w:rsidR="005307B5" w:rsidRPr="002E5315" w:rsidRDefault="005307B5" w:rsidP="005307B5">
            <w:pPr>
              <w:rPr>
                <w:b/>
                <w:bCs/>
                <w:sz w:val="20"/>
                <w:szCs w:val="20"/>
              </w:rPr>
            </w:pPr>
            <w:r w:rsidRPr="002E5315">
              <w:rPr>
                <w:bCs/>
                <w:sz w:val="20"/>
                <w:szCs w:val="20"/>
              </w:rPr>
              <w:t>prethodni i kazneni postupak</w:t>
            </w:r>
          </w:p>
        </w:tc>
        <w:tc>
          <w:tcPr>
            <w:tcW w:w="1653" w:type="dxa"/>
            <w:shd w:val="clear" w:color="auto" w:fill="auto"/>
            <w:vAlign w:val="center"/>
          </w:tcPr>
          <w:p w14:paraId="3B2FF23E" w14:textId="77777777" w:rsidR="005307B5" w:rsidRPr="002E5315" w:rsidRDefault="005307B5" w:rsidP="005307B5">
            <w:pPr>
              <w:jc w:val="center"/>
              <w:rPr>
                <w:sz w:val="20"/>
                <w:szCs w:val="20"/>
              </w:rPr>
            </w:pPr>
            <w:r w:rsidRPr="002E5315">
              <w:rPr>
                <w:sz w:val="20"/>
                <w:szCs w:val="20"/>
              </w:rPr>
              <w:t>4</w:t>
            </w:r>
          </w:p>
        </w:tc>
        <w:tc>
          <w:tcPr>
            <w:tcW w:w="1654" w:type="dxa"/>
            <w:shd w:val="clear" w:color="auto" w:fill="auto"/>
            <w:vAlign w:val="bottom"/>
          </w:tcPr>
          <w:p w14:paraId="396D06DF" w14:textId="77777777" w:rsidR="005307B5" w:rsidRPr="002E5315" w:rsidRDefault="005307B5" w:rsidP="005307B5">
            <w:pPr>
              <w:jc w:val="center"/>
              <w:rPr>
                <w:sz w:val="20"/>
                <w:szCs w:val="20"/>
              </w:rPr>
            </w:pPr>
            <w:r w:rsidRPr="002E5315">
              <w:rPr>
                <w:rFonts w:cs="Arial"/>
                <w:sz w:val="20"/>
                <w:szCs w:val="20"/>
                <w:lang w:eastAsia="en-US"/>
              </w:rPr>
              <w:t>1.15</w:t>
            </w:r>
          </w:p>
        </w:tc>
        <w:tc>
          <w:tcPr>
            <w:tcW w:w="1546" w:type="dxa"/>
            <w:shd w:val="clear" w:color="auto" w:fill="auto"/>
            <w:noWrap/>
            <w:vAlign w:val="center"/>
          </w:tcPr>
          <w:p w14:paraId="26AD6464" w14:textId="77777777" w:rsidR="005307B5" w:rsidRPr="002E5315" w:rsidRDefault="005307B5" w:rsidP="005307B5">
            <w:pPr>
              <w:jc w:val="center"/>
              <w:rPr>
                <w:sz w:val="20"/>
                <w:szCs w:val="20"/>
              </w:rPr>
            </w:pPr>
            <w:r w:rsidRPr="002E5315">
              <w:rPr>
                <w:sz w:val="20"/>
                <w:szCs w:val="20"/>
              </w:rPr>
              <w:t>11</w:t>
            </w:r>
          </w:p>
        </w:tc>
      </w:tr>
      <w:tr w:rsidR="005307B5" w:rsidRPr="002E5315" w14:paraId="78B74176"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115ED725" w14:textId="77777777" w:rsidR="005307B5" w:rsidRPr="002E5315" w:rsidRDefault="005307B5" w:rsidP="005307B5">
            <w:pPr>
              <w:rPr>
                <w:b/>
                <w:bCs/>
                <w:color w:val="000000"/>
                <w:sz w:val="20"/>
                <w:szCs w:val="20"/>
              </w:rPr>
            </w:pPr>
            <w:r w:rsidRPr="002E5315">
              <w:rPr>
                <w:bCs/>
                <w:color w:val="000000"/>
                <w:sz w:val="20"/>
                <w:szCs w:val="20"/>
              </w:rPr>
              <w:t>klasificirana informacija</w:t>
            </w:r>
          </w:p>
        </w:tc>
        <w:tc>
          <w:tcPr>
            <w:tcW w:w="1653" w:type="dxa"/>
            <w:tcBorders>
              <w:left w:val="nil"/>
              <w:right w:val="nil"/>
            </w:tcBorders>
            <w:shd w:val="clear" w:color="auto" w:fill="D9E2F3" w:themeFill="accent1" w:themeFillTint="33"/>
            <w:vAlign w:val="center"/>
          </w:tcPr>
          <w:p w14:paraId="7E7052B8" w14:textId="77777777" w:rsidR="005307B5" w:rsidRPr="002E5315" w:rsidRDefault="005307B5" w:rsidP="005307B5">
            <w:pPr>
              <w:jc w:val="center"/>
              <w:rPr>
                <w:sz w:val="20"/>
                <w:szCs w:val="20"/>
              </w:rPr>
            </w:pPr>
            <w:r w:rsidRPr="002E5315">
              <w:rPr>
                <w:sz w:val="20"/>
                <w:szCs w:val="20"/>
              </w:rPr>
              <w:t>3</w:t>
            </w:r>
          </w:p>
        </w:tc>
        <w:tc>
          <w:tcPr>
            <w:tcW w:w="1654" w:type="dxa"/>
            <w:tcBorders>
              <w:left w:val="nil"/>
              <w:right w:val="nil"/>
            </w:tcBorders>
            <w:shd w:val="clear" w:color="auto" w:fill="D9E2F3" w:themeFill="accent1" w:themeFillTint="33"/>
            <w:vAlign w:val="bottom"/>
          </w:tcPr>
          <w:p w14:paraId="36226A76" w14:textId="77777777" w:rsidR="005307B5" w:rsidRPr="002E5315" w:rsidRDefault="005307B5" w:rsidP="005307B5">
            <w:pPr>
              <w:jc w:val="center"/>
              <w:rPr>
                <w:sz w:val="20"/>
                <w:szCs w:val="20"/>
              </w:rPr>
            </w:pPr>
            <w:r w:rsidRPr="002E5315">
              <w:rPr>
                <w:rFonts w:cs="Arial"/>
                <w:sz w:val="20"/>
                <w:szCs w:val="20"/>
                <w:lang w:eastAsia="en-US"/>
              </w:rPr>
              <w:t>0.86</w:t>
            </w:r>
          </w:p>
        </w:tc>
        <w:tc>
          <w:tcPr>
            <w:tcW w:w="1546" w:type="dxa"/>
            <w:tcBorders>
              <w:left w:val="nil"/>
              <w:right w:val="nil"/>
            </w:tcBorders>
            <w:shd w:val="clear" w:color="auto" w:fill="D9E2F3" w:themeFill="accent1" w:themeFillTint="33"/>
            <w:noWrap/>
            <w:vAlign w:val="center"/>
          </w:tcPr>
          <w:p w14:paraId="615AF008" w14:textId="77777777" w:rsidR="005307B5" w:rsidRPr="002E5315" w:rsidRDefault="005307B5" w:rsidP="005307B5">
            <w:pPr>
              <w:jc w:val="center"/>
              <w:rPr>
                <w:sz w:val="20"/>
                <w:szCs w:val="20"/>
              </w:rPr>
            </w:pPr>
            <w:r w:rsidRPr="002E5315">
              <w:rPr>
                <w:sz w:val="20"/>
                <w:szCs w:val="20"/>
              </w:rPr>
              <w:t>12</w:t>
            </w:r>
          </w:p>
        </w:tc>
      </w:tr>
      <w:tr w:rsidR="005307B5" w:rsidRPr="002E5315" w14:paraId="4CE43D23" w14:textId="77777777" w:rsidTr="005307B5">
        <w:trPr>
          <w:trHeight w:val="282"/>
          <w:jc w:val="center"/>
        </w:trPr>
        <w:tc>
          <w:tcPr>
            <w:tcW w:w="4219" w:type="dxa"/>
            <w:shd w:val="clear" w:color="auto" w:fill="auto"/>
            <w:vAlign w:val="center"/>
            <w:hideMark/>
          </w:tcPr>
          <w:p w14:paraId="295754EA" w14:textId="77777777" w:rsidR="005307B5" w:rsidRPr="002E5315" w:rsidRDefault="005307B5" w:rsidP="005307B5">
            <w:pPr>
              <w:rPr>
                <w:b/>
                <w:bCs/>
                <w:color w:val="000000"/>
                <w:sz w:val="20"/>
                <w:szCs w:val="20"/>
              </w:rPr>
            </w:pPr>
            <w:r w:rsidRPr="002E5315">
              <w:rPr>
                <w:bCs/>
                <w:color w:val="000000"/>
                <w:sz w:val="20"/>
                <w:szCs w:val="20"/>
              </w:rPr>
              <w:t>poslovna ili profesionalna tajna</w:t>
            </w:r>
          </w:p>
        </w:tc>
        <w:tc>
          <w:tcPr>
            <w:tcW w:w="1653" w:type="dxa"/>
            <w:shd w:val="clear" w:color="auto" w:fill="auto"/>
            <w:vAlign w:val="center"/>
          </w:tcPr>
          <w:p w14:paraId="16615107" w14:textId="77777777" w:rsidR="005307B5" w:rsidRPr="002E5315" w:rsidRDefault="005307B5" w:rsidP="005307B5">
            <w:pPr>
              <w:jc w:val="center"/>
              <w:rPr>
                <w:sz w:val="20"/>
                <w:szCs w:val="20"/>
              </w:rPr>
            </w:pPr>
            <w:r w:rsidRPr="002E5315">
              <w:rPr>
                <w:sz w:val="20"/>
                <w:szCs w:val="20"/>
              </w:rPr>
              <w:t>61</w:t>
            </w:r>
          </w:p>
        </w:tc>
        <w:tc>
          <w:tcPr>
            <w:tcW w:w="1654" w:type="dxa"/>
            <w:shd w:val="clear" w:color="auto" w:fill="auto"/>
            <w:vAlign w:val="bottom"/>
          </w:tcPr>
          <w:p w14:paraId="2E6E3FFA" w14:textId="77777777" w:rsidR="005307B5" w:rsidRPr="002E5315" w:rsidRDefault="005307B5" w:rsidP="005307B5">
            <w:pPr>
              <w:jc w:val="center"/>
              <w:rPr>
                <w:sz w:val="20"/>
                <w:szCs w:val="20"/>
              </w:rPr>
            </w:pPr>
            <w:r w:rsidRPr="002E5315">
              <w:rPr>
                <w:rFonts w:cs="Arial"/>
                <w:sz w:val="20"/>
                <w:szCs w:val="20"/>
                <w:lang w:eastAsia="en-US"/>
              </w:rPr>
              <w:t>17.48</w:t>
            </w:r>
          </w:p>
        </w:tc>
        <w:tc>
          <w:tcPr>
            <w:tcW w:w="1546" w:type="dxa"/>
            <w:shd w:val="clear" w:color="auto" w:fill="auto"/>
            <w:noWrap/>
            <w:vAlign w:val="center"/>
          </w:tcPr>
          <w:p w14:paraId="569929C5" w14:textId="77777777" w:rsidR="005307B5" w:rsidRPr="002E5315" w:rsidRDefault="005307B5" w:rsidP="005307B5">
            <w:pPr>
              <w:jc w:val="center"/>
              <w:rPr>
                <w:sz w:val="20"/>
                <w:szCs w:val="20"/>
              </w:rPr>
            </w:pPr>
            <w:r w:rsidRPr="002E5315">
              <w:rPr>
                <w:sz w:val="20"/>
                <w:szCs w:val="20"/>
              </w:rPr>
              <w:t>2</w:t>
            </w:r>
          </w:p>
        </w:tc>
      </w:tr>
      <w:tr w:rsidR="005307B5" w:rsidRPr="002E5315" w14:paraId="26DC4F5D"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6B0A47FF" w14:textId="77777777" w:rsidR="005307B5" w:rsidRPr="002E5315" w:rsidRDefault="005307B5" w:rsidP="005307B5">
            <w:pPr>
              <w:rPr>
                <w:b/>
                <w:bCs/>
                <w:color w:val="000000"/>
                <w:sz w:val="20"/>
                <w:szCs w:val="20"/>
              </w:rPr>
            </w:pPr>
            <w:r w:rsidRPr="002E5315">
              <w:rPr>
                <w:bCs/>
                <w:color w:val="000000"/>
                <w:sz w:val="20"/>
                <w:szCs w:val="20"/>
              </w:rPr>
              <w:t>porezna tajna</w:t>
            </w:r>
          </w:p>
        </w:tc>
        <w:tc>
          <w:tcPr>
            <w:tcW w:w="1653" w:type="dxa"/>
            <w:tcBorders>
              <w:left w:val="nil"/>
              <w:right w:val="nil"/>
            </w:tcBorders>
            <w:shd w:val="clear" w:color="auto" w:fill="D9E2F3" w:themeFill="accent1" w:themeFillTint="33"/>
            <w:vAlign w:val="center"/>
          </w:tcPr>
          <w:p w14:paraId="0478EB24" w14:textId="77777777" w:rsidR="005307B5" w:rsidRPr="002E5315" w:rsidRDefault="005307B5" w:rsidP="005307B5">
            <w:pPr>
              <w:jc w:val="center"/>
              <w:rPr>
                <w:sz w:val="20"/>
                <w:szCs w:val="20"/>
              </w:rPr>
            </w:pPr>
            <w:r w:rsidRPr="002E5315">
              <w:rPr>
                <w:sz w:val="20"/>
                <w:szCs w:val="20"/>
              </w:rPr>
              <w:t>7</w:t>
            </w:r>
          </w:p>
        </w:tc>
        <w:tc>
          <w:tcPr>
            <w:tcW w:w="1654" w:type="dxa"/>
            <w:tcBorders>
              <w:left w:val="nil"/>
              <w:right w:val="nil"/>
            </w:tcBorders>
            <w:shd w:val="clear" w:color="auto" w:fill="D9E2F3" w:themeFill="accent1" w:themeFillTint="33"/>
            <w:vAlign w:val="bottom"/>
          </w:tcPr>
          <w:p w14:paraId="2DE16DF7" w14:textId="77777777" w:rsidR="005307B5" w:rsidRPr="002E5315" w:rsidRDefault="005307B5" w:rsidP="005307B5">
            <w:pPr>
              <w:jc w:val="center"/>
              <w:rPr>
                <w:sz w:val="20"/>
                <w:szCs w:val="20"/>
              </w:rPr>
            </w:pPr>
            <w:r w:rsidRPr="002E5315">
              <w:rPr>
                <w:rFonts w:cs="Arial"/>
                <w:sz w:val="20"/>
                <w:szCs w:val="20"/>
                <w:lang w:eastAsia="en-US"/>
              </w:rPr>
              <w:t>2.01</w:t>
            </w:r>
          </w:p>
        </w:tc>
        <w:tc>
          <w:tcPr>
            <w:tcW w:w="1546" w:type="dxa"/>
            <w:tcBorders>
              <w:left w:val="nil"/>
              <w:right w:val="nil"/>
            </w:tcBorders>
            <w:shd w:val="clear" w:color="auto" w:fill="D9E2F3" w:themeFill="accent1" w:themeFillTint="33"/>
            <w:noWrap/>
            <w:vAlign w:val="center"/>
          </w:tcPr>
          <w:p w14:paraId="3C4464D0" w14:textId="77777777" w:rsidR="005307B5" w:rsidRPr="002E5315" w:rsidRDefault="005307B5" w:rsidP="005307B5">
            <w:pPr>
              <w:jc w:val="center"/>
              <w:rPr>
                <w:sz w:val="20"/>
                <w:szCs w:val="20"/>
              </w:rPr>
            </w:pPr>
            <w:r w:rsidRPr="002E5315">
              <w:rPr>
                <w:sz w:val="20"/>
                <w:szCs w:val="20"/>
              </w:rPr>
              <w:t>9</w:t>
            </w:r>
          </w:p>
        </w:tc>
      </w:tr>
      <w:tr w:rsidR="005307B5" w:rsidRPr="002E5315" w14:paraId="1CC3C1CA" w14:textId="77777777" w:rsidTr="005307B5">
        <w:trPr>
          <w:trHeight w:val="282"/>
          <w:jc w:val="center"/>
        </w:trPr>
        <w:tc>
          <w:tcPr>
            <w:tcW w:w="4219" w:type="dxa"/>
            <w:shd w:val="clear" w:color="auto" w:fill="auto"/>
            <w:vAlign w:val="center"/>
            <w:hideMark/>
          </w:tcPr>
          <w:p w14:paraId="6CDD676B" w14:textId="77777777" w:rsidR="005307B5" w:rsidRPr="002E5315" w:rsidRDefault="005307B5" w:rsidP="005307B5">
            <w:pPr>
              <w:rPr>
                <w:b/>
                <w:bCs/>
                <w:color w:val="000000"/>
                <w:sz w:val="20"/>
                <w:szCs w:val="20"/>
              </w:rPr>
            </w:pPr>
            <w:r w:rsidRPr="002E5315">
              <w:rPr>
                <w:bCs/>
                <w:color w:val="000000"/>
                <w:sz w:val="20"/>
                <w:szCs w:val="20"/>
              </w:rPr>
              <w:t>osobni podaci</w:t>
            </w:r>
          </w:p>
        </w:tc>
        <w:tc>
          <w:tcPr>
            <w:tcW w:w="1653" w:type="dxa"/>
            <w:shd w:val="clear" w:color="auto" w:fill="auto"/>
            <w:vAlign w:val="center"/>
          </w:tcPr>
          <w:p w14:paraId="04D55C66" w14:textId="77777777" w:rsidR="005307B5" w:rsidRPr="002E5315" w:rsidRDefault="005307B5" w:rsidP="005307B5">
            <w:pPr>
              <w:jc w:val="center"/>
              <w:rPr>
                <w:sz w:val="20"/>
                <w:szCs w:val="20"/>
              </w:rPr>
            </w:pPr>
            <w:r w:rsidRPr="002E5315">
              <w:rPr>
                <w:sz w:val="20"/>
                <w:szCs w:val="20"/>
              </w:rPr>
              <w:t>71</w:t>
            </w:r>
          </w:p>
        </w:tc>
        <w:tc>
          <w:tcPr>
            <w:tcW w:w="1654" w:type="dxa"/>
            <w:shd w:val="clear" w:color="auto" w:fill="auto"/>
            <w:vAlign w:val="bottom"/>
          </w:tcPr>
          <w:p w14:paraId="08467785" w14:textId="77777777" w:rsidR="005307B5" w:rsidRPr="002E5315" w:rsidRDefault="005307B5" w:rsidP="005307B5">
            <w:pPr>
              <w:jc w:val="center"/>
              <w:rPr>
                <w:sz w:val="20"/>
                <w:szCs w:val="20"/>
              </w:rPr>
            </w:pPr>
            <w:r w:rsidRPr="002E5315">
              <w:rPr>
                <w:rFonts w:cs="Arial"/>
                <w:sz w:val="20"/>
                <w:szCs w:val="20"/>
                <w:lang w:eastAsia="en-US"/>
              </w:rPr>
              <w:t>20.34</w:t>
            </w:r>
          </w:p>
        </w:tc>
        <w:tc>
          <w:tcPr>
            <w:tcW w:w="1546" w:type="dxa"/>
            <w:shd w:val="clear" w:color="auto" w:fill="auto"/>
            <w:noWrap/>
            <w:vAlign w:val="center"/>
          </w:tcPr>
          <w:p w14:paraId="1263E137" w14:textId="77777777" w:rsidR="005307B5" w:rsidRPr="002E5315" w:rsidRDefault="005307B5" w:rsidP="005307B5">
            <w:pPr>
              <w:jc w:val="center"/>
              <w:rPr>
                <w:sz w:val="20"/>
                <w:szCs w:val="20"/>
              </w:rPr>
            </w:pPr>
            <w:r w:rsidRPr="002E5315">
              <w:rPr>
                <w:sz w:val="20"/>
                <w:szCs w:val="20"/>
              </w:rPr>
              <w:t>1</w:t>
            </w:r>
          </w:p>
        </w:tc>
      </w:tr>
      <w:tr w:rsidR="005307B5" w:rsidRPr="002E5315" w14:paraId="723D90EC"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1CEE2ED0" w14:textId="77777777" w:rsidR="005307B5" w:rsidRPr="002E5315" w:rsidRDefault="005307B5" w:rsidP="005307B5">
            <w:pPr>
              <w:rPr>
                <w:b/>
                <w:bCs/>
                <w:color w:val="000000"/>
                <w:sz w:val="20"/>
                <w:szCs w:val="20"/>
              </w:rPr>
            </w:pPr>
            <w:r w:rsidRPr="002E5315">
              <w:rPr>
                <w:bCs/>
                <w:color w:val="000000"/>
                <w:sz w:val="20"/>
                <w:szCs w:val="20"/>
              </w:rPr>
              <w:t>intelektualno vlasništvo</w:t>
            </w:r>
          </w:p>
        </w:tc>
        <w:tc>
          <w:tcPr>
            <w:tcW w:w="1653" w:type="dxa"/>
            <w:tcBorders>
              <w:left w:val="nil"/>
              <w:right w:val="nil"/>
            </w:tcBorders>
            <w:shd w:val="clear" w:color="auto" w:fill="D9E2F3" w:themeFill="accent1" w:themeFillTint="33"/>
            <w:vAlign w:val="center"/>
          </w:tcPr>
          <w:p w14:paraId="78869F86" w14:textId="77777777" w:rsidR="005307B5" w:rsidRPr="002E5315" w:rsidRDefault="005307B5" w:rsidP="005307B5">
            <w:pPr>
              <w:jc w:val="center"/>
              <w:rPr>
                <w:sz w:val="20"/>
                <w:szCs w:val="20"/>
              </w:rPr>
            </w:pPr>
            <w:r w:rsidRPr="002E5315">
              <w:rPr>
                <w:sz w:val="20"/>
                <w:szCs w:val="20"/>
              </w:rPr>
              <w:t>8</w:t>
            </w:r>
          </w:p>
        </w:tc>
        <w:tc>
          <w:tcPr>
            <w:tcW w:w="1654" w:type="dxa"/>
            <w:tcBorders>
              <w:left w:val="nil"/>
              <w:right w:val="nil"/>
            </w:tcBorders>
            <w:shd w:val="clear" w:color="auto" w:fill="D9E2F3" w:themeFill="accent1" w:themeFillTint="33"/>
            <w:vAlign w:val="bottom"/>
          </w:tcPr>
          <w:p w14:paraId="5FA2E033" w14:textId="77777777" w:rsidR="005307B5" w:rsidRPr="002E5315" w:rsidRDefault="005307B5" w:rsidP="005307B5">
            <w:pPr>
              <w:jc w:val="center"/>
              <w:rPr>
                <w:sz w:val="20"/>
                <w:szCs w:val="20"/>
              </w:rPr>
            </w:pPr>
            <w:r w:rsidRPr="002E5315">
              <w:rPr>
                <w:rFonts w:cs="Arial"/>
                <w:sz w:val="20"/>
                <w:szCs w:val="20"/>
                <w:lang w:eastAsia="en-US"/>
              </w:rPr>
              <w:t>2.29</w:t>
            </w:r>
          </w:p>
        </w:tc>
        <w:tc>
          <w:tcPr>
            <w:tcW w:w="1546" w:type="dxa"/>
            <w:tcBorders>
              <w:left w:val="nil"/>
              <w:right w:val="nil"/>
            </w:tcBorders>
            <w:shd w:val="clear" w:color="auto" w:fill="D9E2F3" w:themeFill="accent1" w:themeFillTint="33"/>
            <w:noWrap/>
            <w:vAlign w:val="center"/>
          </w:tcPr>
          <w:p w14:paraId="067FDC92" w14:textId="77777777" w:rsidR="005307B5" w:rsidRPr="002E5315" w:rsidRDefault="005307B5" w:rsidP="005307B5">
            <w:pPr>
              <w:jc w:val="center"/>
              <w:rPr>
                <w:sz w:val="20"/>
                <w:szCs w:val="20"/>
              </w:rPr>
            </w:pPr>
            <w:r w:rsidRPr="002E5315">
              <w:rPr>
                <w:sz w:val="20"/>
                <w:szCs w:val="20"/>
              </w:rPr>
              <w:t>8</w:t>
            </w:r>
          </w:p>
        </w:tc>
      </w:tr>
      <w:tr w:rsidR="005307B5" w:rsidRPr="002E5315" w14:paraId="1B2C6BEC" w14:textId="77777777" w:rsidTr="005307B5">
        <w:trPr>
          <w:trHeight w:val="282"/>
          <w:jc w:val="center"/>
        </w:trPr>
        <w:tc>
          <w:tcPr>
            <w:tcW w:w="4219" w:type="dxa"/>
            <w:shd w:val="clear" w:color="auto" w:fill="auto"/>
            <w:vAlign w:val="center"/>
            <w:hideMark/>
          </w:tcPr>
          <w:p w14:paraId="3EED9D4E" w14:textId="77777777" w:rsidR="005307B5" w:rsidRPr="002E5315" w:rsidRDefault="005307B5" w:rsidP="005307B5">
            <w:pPr>
              <w:rPr>
                <w:b/>
                <w:bCs/>
                <w:color w:val="000000"/>
                <w:sz w:val="20"/>
                <w:szCs w:val="20"/>
              </w:rPr>
            </w:pPr>
            <w:r w:rsidRPr="002E5315">
              <w:rPr>
                <w:bCs/>
                <w:color w:val="000000"/>
                <w:sz w:val="20"/>
                <w:szCs w:val="20"/>
              </w:rPr>
              <w:t>međunarodni ugovori, diplomatski odnosi</w:t>
            </w:r>
          </w:p>
        </w:tc>
        <w:tc>
          <w:tcPr>
            <w:tcW w:w="1653" w:type="dxa"/>
            <w:shd w:val="clear" w:color="auto" w:fill="auto"/>
            <w:vAlign w:val="center"/>
          </w:tcPr>
          <w:p w14:paraId="3CB87EA5" w14:textId="77777777" w:rsidR="005307B5" w:rsidRPr="002E5315" w:rsidRDefault="005307B5" w:rsidP="005307B5">
            <w:pPr>
              <w:jc w:val="center"/>
              <w:rPr>
                <w:sz w:val="20"/>
                <w:szCs w:val="20"/>
              </w:rPr>
            </w:pPr>
            <w:r w:rsidRPr="002E5315">
              <w:rPr>
                <w:sz w:val="20"/>
                <w:szCs w:val="20"/>
              </w:rPr>
              <w:t>0</w:t>
            </w:r>
          </w:p>
        </w:tc>
        <w:tc>
          <w:tcPr>
            <w:tcW w:w="1654" w:type="dxa"/>
            <w:shd w:val="clear" w:color="auto" w:fill="auto"/>
            <w:vAlign w:val="bottom"/>
          </w:tcPr>
          <w:p w14:paraId="0CDF5A75" w14:textId="77777777" w:rsidR="005307B5" w:rsidRPr="002E5315" w:rsidRDefault="005307B5" w:rsidP="005307B5">
            <w:pPr>
              <w:jc w:val="center"/>
              <w:rPr>
                <w:sz w:val="20"/>
                <w:szCs w:val="20"/>
              </w:rPr>
            </w:pPr>
            <w:r w:rsidRPr="002E5315">
              <w:rPr>
                <w:rFonts w:cs="Arial"/>
                <w:sz w:val="20"/>
                <w:szCs w:val="20"/>
                <w:lang w:eastAsia="en-US"/>
              </w:rPr>
              <w:t>0.00</w:t>
            </w:r>
          </w:p>
        </w:tc>
        <w:tc>
          <w:tcPr>
            <w:tcW w:w="1546" w:type="dxa"/>
            <w:shd w:val="clear" w:color="auto" w:fill="auto"/>
            <w:noWrap/>
            <w:vAlign w:val="center"/>
          </w:tcPr>
          <w:p w14:paraId="6F9DFE29" w14:textId="77777777" w:rsidR="005307B5" w:rsidRPr="002E5315" w:rsidRDefault="005307B5" w:rsidP="005307B5">
            <w:pPr>
              <w:jc w:val="center"/>
              <w:rPr>
                <w:sz w:val="20"/>
                <w:szCs w:val="20"/>
              </w:rPr>
            </w:pPr>
            <w:r w:rsidRPr="002E5315">
              <w:rPr>
                <w:sz w:val="20"/>
                <w:szCs w:val="20"/>
              </w:rPr>
              <w:t>13</w:t>
            </w:r>
          </w:p>
        </w:tc>
      </w:tr>
      <w:tr w:rsidR="005307B5" w:rsidRPr="002E5315" w14:paraId="71C605DB"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12350E7C" w14:textId="77777777" w:rsidR="005307B5" w:rsidRPr="002E5315" w:rsidRDefault="005307B5" w:rsidP="005307B5">
            <w:pPr>
              <w:rPr>
                <w:b/>
                <w:bCs/>
                <w:color w:val="000000"/>
                <w:sz w:val="20"/>
                <w:szCs w:val="20"/>
              </w:rPr>
            </w:pPr>
            <w:r w:rsidRPr="002E5315">
              <w:rPr>
                <w:bCs/>
                <w:color w:val="000000"/>
                <w:sz w:val="20"/>
                <w:szCs w:val="20"/>
              </w:rPr>
              <w:t>u ostalim slučajevima utvrđenim zakonom</w:t>
            </w:r>
          </w:p>
        </w:tc>
        <w:tc>
          <w:tcPr>
            <w:tcW w:w="1653" w:type="dxa"/>
            <w:tcBorders>
              <w:left w:val="nil"/>
              <w:right w:val="nil"/>
            </w:tcBorders>
            <w:shd w:val="clear" w:color="auto" w:fill="D9E2F3" w:themeFill="accent1" w:themeFillTint="33"/>
            <w:vAlign w:val="center"/>
          </w:tcPr>
          <w:p w14:paraId="1879650B" w14:textId="77777777" w:rsidR="005307B5" w:rsidRPr="002E5315" w:rsidRDefault="005307B5" w:rsidP="005307B5">
            <w:pPr>
              <w:jc w:val="center"/>
              <w:rPr>
                <w:sz w:val="20"/>
                <w:szCs w:val="20"/>
                <w:highlight w:val="yellow"/>
              </w:rPr>
            </w:pPr>
            <w:r w:rsidRPr="002E5315">
              <w:rPr>
                <w:sz w:val="20"/>
                <w:szCs w:val="20"/>
              </w:rPr>
              <w:t>23</w:t>
            </w:r>
          </w:p>
        </w:tc>
        <w:tc>
          <w:tcPr>
            <w:tcW w:w="1654" w:type="dxa"/>
            <w:tcBorders>
              <w:left w:val="nil"/>
              <w:right w:val="nil"/>
            </w:tcBorders>
            <w:shd w:val="clear" w:color="auto" w:fill="D9E2F3" w:themeFill="accent1" w:themeFillTint="33"/>
            <w:vAlign w:val="bottom"/>
          </w:tcPr>
          <w:p w14:paraId="0426211B" w14:textId="77777777" w:rsidR="005307B5" w:rsidRPr="002E5315" w:rsidRDefault="005307B5" w:rsidP="005307B5">
            <w:pPr>
              <w:jc w:val="center"/>
              <w:rPr>
                <w:sz w:val="20"/>
                <w:szCs w:val="20"/>
              </w:rPr>
            </w:pPr>
            <w:r w:rsidRPr="002E5315">
              <w:rPr>
                <w:rFonts w:cs="Arial"/>
                <w:sz w:val="20"/>
                <w:szCs w:val="20"/>
                <w:lang w:eastAsia="en-US"/>
              </w:rPr>
              <w:t>6.59</w:t>
            </w:r>
          </w:p>
        </w:tc>
        <w:tc>
          <w:tcPr>
            <w:tcW w:w="1546" w:type="dxa"/>
            <w:tcBorders>
              <w:left w:val="nil"/>
              <w:right w:val="nil"/>
            </w:tcBorders>
            <w:shd w:val="clear" w:color="auto" w:fill="D9E2F3" w:themeFill="accent1" w:themeFillTint="33"/>
            <w:noWrap/>
            <w:vAlign w:val="center"/>
          </w:tcPr>
          <w:p w14:paraId="45D0AE93" w14:textId="77777777" w:rsidR="005307B5" w:rsidRPr="002E5315" w:rsidRDefault="005307B5" w:rsidP="005307B5">
            <w:pPr>
              <w:jc w:val="center"/>
              <w:rPr>
                <w:sz w:val="20"/>
                <w:szCs w:val="20"/>
              </w:rPr>
            </w:pPr>
            <w:r w:rsidRPr="002E5315">
              <w:rPr>
                <w:sz w:val="20"/>
                <w:szCs w:val="20"/>
              </w:rPr>
              <w:t>6</w:t>
            </w:r>
          </w:p>
        </w:tc>
      </w:tr>
      <w:tr w:rsidR="005307B5" w:rsidRPr="002E5315" w14:paraId="1EE0FF84" w14:textId="77777777" w:rsidTr="005307B5">
        <w:trPr>
          <w:trHeight w:val="282"/>
          <w:jc w:val="center"/>
        </w:trPr>
        <w:tc>
          <w:tcPr>
            <w:tcW w:w="4219" w:type="dxa"/>
            <w:shd w:val="clear" w:color="auto" w:fill="auto"/>
            <w:vAlign w:val="center"/>
            <w:hideMark/>
          </w:tcPr>
          <w:p w14:paraId="54DB9533" w14:textId="77777777" w:rsidR="005307B5" w:rsidRPr="002E5315" w:rsidRDefault="005307B5" w:rsidP="005307B5">
            <w:pPr>
              <w:rPr>
                <w:b/>
                <w:bCs/>
                <w:color w:val="000000"/>
                <w:sz w:val="20"/>
                <w:szCs w:val="20"/>
              </w:rPr>
            </w:pPr>
            <w:r w:rsidRPr="002E5315">
              <w:rPr>
                <w:bCs/>
                <w:color w:val="000000"/>
                <w:sz w:val="20"/>
                <w:szCs w:val="20"/>
              </w:rPr>
              <w:t>sudski, upravni ili drugi postupak u tijeku</w:t>
            </w:r>
          </w:p>
        </w:tc>
        <w:tc>
          <w:tcPr>
            <w:tcW w:w="1653" w:type="dxa"/>
            <w:shd w:val="clear" w:color="auto" w:fill="auto"/>
            <w:vAlign w:val="center"/>
          </w:tcPr>
          <w:p w14:paraId="06F79C13" w14:textId="77777777" w:rsidR="005307B5" w:rsidRPr="002E5315" w:rsidRDefault="005307B5" w:rsidP="005307B5">
            <w:pPr>
              <w:jc w:val="center"/>
              <w:rPr>
                <w:sz w:val="20"/>
                <w:szCs w:val="20"/>
              </w:rPr>
            </w:pPr>
            <w:r w:rsidRPr="002E5315">
              <w:rPr>
                <w:sz w:val="20"/>
                <w:szCs w:val="20"/>
              </w:rPr>
              <w:t>18</w:t>
            </w:r>
          </w:p>
        </w:tc>
        <w:tc>
          <w:tcPr>
            <w:tcW w:w="1654" w:type="dxa"/>
            <w:shd w:val="clear" w:color="auto" w:fill="auto"/>
            <w:vAlign w:val="bottom"/>
          </w:tcPr>
          <w:p w14:paraId="642B3082" w14:textId="77777777" w:rsidR="005307B5" w:rsidRPr="002E5315" w:rsidRDefault="005307B5" w:rsidP="005307B5">
            <w:pPr>
              <w:jc w:val="center"/>
              <w:rPr>
                <w:sz w:val="20"/>
                <w:szCs w:val="20"/>
              </w:rPr>
            </w:pPr>
            <w:r w:rsidRPr="002E5315">
              <w:rPr>
                <w:rFonts w:cs="Arial"/>
                <w:sz w:val="20"/>
                <w:szCs w:val="20"/>
                <w:lang w:eastAsia="en-US"/>
              </w:rPr>
              <w:t>5.16</w:t>
            </w:r>
          </w:p>
        </w:tc>
        <w:tc>
          <w:tcPr>
            <w:tcW w:w="1546" w:type="dxa"/>
            <w:shd w:val="clear" w:color="auto" w:fill="auto"/>
            <w:noWrap/>
            <w:vAlign w:val="center"/>
          </w:tcPr>
          <w:p w14:paraId="67F0E07D" w14:textId="77777777" w:rsidR="005307B5" w:rsidRPr="002E5315" w:rsidRDefault="005307B5" w:rsidP="005307B5">
            <w:pPr>
              <w:jc w:val="center"/>
              <w:rPr>
                <w:sz w:val="20"/>
                <w:szCs w:val="20"/>
              </w:rPr>
            </w:pPr>
            <w:r w:rsidRPr="002E5315">
              <w:rPr>
                <w:sz w:val="20"/>
                <w:szCs w:val="20"/>
              </w:rPr>
              <w:t>7</w:t>
            </w:r>
          </w:p>
        </w:tc>
      </w:tr>
      <w:tr w:rsidR="005307B5" w:rsidRPr="002E5315" w14:paraId="57F3CF70"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38B73834" w14:textId="77777777" w:rsidR="005307B5" w:rsidRPr="002E5315" w:rsidRDefault="005307B5" w:rsidP="005307B5">
            <w:pPr>
              <w:rPr>
                <w:b/>
                <w:bCs/>
                <w:color w:val="000000"/>
                <w:sz w:val="20"/>
                <w:szCs w:val="20"/>
              </w:rPr>
            </w:pPr>
            <w:r w:rsidRPr="002E5315">
              <w:rPr>
                <w:bCs/>
                <w:color w:val="000000"/>
                <w:sz w:val="20"/>
                <w:szCs w:val="20"/>
              </w:rPr>
              <w:t>upravni, inspekcijski ili nadzor zakonitosti u tijeku</w:t>
            </w:r>
          </w:p>
        </w:tc>
        <w:tc>
          <w:tcPr>
            <w:tcW w:w="1653" w:type="dxa"/>
            <w:tcBorders>
              <w:left w:val="nil"/>
              <w:right w:val="nil"/>
            </w:tcBorders>
            <w:shd w:val="clear" w:color="auto" w:fill="D9E2F3" w:themeFill="accent1" w:themeFillTint="33"/>
            <w:vAlign w:val="center"/>
          </w:tcPr>
          <w:p w14:paraId="67F40724" w14:textId="77777777" w:rsidR="005307B5" w:rsidRPr="002E5315" w:rsidRDefault="005307B5" w:rsidP="005307B5">
            <w:pPr>
              <w:jc w:val="center"/>
              <w:rPr>
                <w:sz w:val="20"/>
                <w:szCs w:val="20"/>
              </w:rPr>
            </w:pPr>
            <w:r w:rsidRPr="002E5315">
              <w:rPr>
                <w:sz w:val="20"/>
                <w:szCs w:val="20"/>
              </w:rPr>
              <w:t>0</w:t>
            </w:r>
          </w:p>
        </w:tc>
        <w:tc>
          <w:tcPr>
            <w:tcW w:w="1654" w:type="dxa"/>
            <w:tcBorders>
              <w:left w:val="nil"/>
              <w:right w:val="nil"/>
            </w:tcBorders>
            <w:shd w:val="clear" w:color="auto" w:fill="D9E2F3" w:themeFill="accent1" w:themeFillTint="33"/>
            <w:vAlign w:val="bottom"/>
          </w:tcPr>
          <w:p w14:paraId="17C2F1A2" w14:textId="77777777" w:rsidR="005307B5" w:rsidRPr="002E5315" w:rsidRDefault="005307B5" w:rsidP="005307B5">
            <w:pPr>
              <w:jc w:val="center"/>
              <w:rPr>
                <w:sz w:val="20"/>
                <w:szCs w:val="20"/>
              </w:rPr>
            </w:pPr>
            <w:r w:rsidRPr="002E5315">
              <w:rPr>
                <w:rFonts w:cs="Arial"/>
                <w:sz w:val="20"/>
                <w:szCs w:val="20"/>
                <w:lang w:eastAsia="en-US"/>
              </w:rPr>
              <w:t>0.00</w:t>
            </w:r>
          </w:p>
        </w:tc>
        <w:tc>
          <w:tcPr>
            <w:tcW w:w="1546" w:type="dxa"/>
            <w:tcBorders>
              <w:left w:val="nil"/>
              <w:right w:val="nil"/>
            </w:tcBorders>
            <w:shd w:val="clear" w:color="auto" w:fill="D9E2F3" w:themeFill="accent1" w:themeFillTint="33"/>
            <w:noWrap/>
            <w:vAlign w:val="center"/>
          </w:tcPr>
          <w:p w14:paraId="2CBC8980" w14:textId="77777777" w:rsidR="005307B5" w:rsidRPr="002E5315" w:rsidRDefault="005307B5" w:rsidP="005307B5">
            <w:pPr>
              <w:jc w:val="center"/>
              <w:rPr>
                <w:sz w:val="20"/>
                <w:szCs w:val="20"/>
              </w:rPr>
            </w:pPr>
            <w:r w:rsidRPr="002E5315">
              <w:rPr>
                <w:sz w:val="20"/>
                <w:szCs w:val="20"/>
              </w:rPr>
              <w:t>13</w:t>
            </w:r>
          </w:p>
        </w:tc>
      </w:tr>
      <w:tr w:rsidR="005307B5" w:rsidRPr="002E5315" w14:paraId="682E43ED" w14:textId="77777777" w:rsidTr="005307B5">
        <w:trPr>
          <w:trHeight w:val="282"/>
          <w:jc w:val="center"/>
        </w:trPr>
        <w:tc>
          <w:tcPr>
            <w:tcW w:w="4219" w:type="dxa"/>
            <w:shd w:val="clear" w:color="auto" w:fill="auto"/>
            <w:vAlign w:val="center"/>
            <w:hideMark/>
          </w:tcPr>
          <w:p w14:paraId="3F69D0A8" w14:textId="77777777" w:rsidR="005307B5" w:rsidRPr="002E5315" w:rsidRDefault="005307B5" w:rsidP="005307B5">
            <w:pPr>
              <w:rPr>
                <w:b/>
                <w:bCs/>
                <w:color w:val="000000"/>
                <w:sz w:val="20"/>
                <w:szCs w:val="20"/>
              </w:rPr>
            </w:pPr>
            <w:r w:rsidRPr="002E5315">
              <w:rPr>
                <w:bCs/>
                <w:color w:val="000000"/>
                <w:sz w:val="20"/>
                <w:szCs w:val="20"/>
              </w:rPr>
              <w:t>informacija u postupku izrade</w:t>
            </w:r>
          </w:p>
        </w:tc>
        <w:tc>
          <w:tcPr>
            <w:tcW w:w="1653" w:type="dxa"/>
            <w:shd w:val="clear" w:color="auto" w:fill="auto"/>
            <w:vAlign w:val="center"/>
          </w:tcPr>
          <w:p w14:paraId="5976961F" w14:textId="77777777" w:rsidR="005307B5" w:rsidRPr="002E5315" w:rsidRDefault="005307B5" w:rsidP="005307B5">
            <w:pPr>
              <w:jc w:val="center"/>
              <w:rPr>
                <w:sz w:val="20"/>
                <w:szCs w:val="20"/>
                <w:highlight w:val="yellow"/>
              </w:rPr>
            </w:pPr>
            <w:r w:rsidRPr="002E5315">
              <w:rPr>
                <w:sz w:val="20"/>
                <w:szCs w:val="20"/>
              </w:rPr>
              <w:t>4</w:t>
            </w:r>
          </w:p>
        </w:tc>
        <w:tc>
          <w:tcPr>
            <w:tcW w:w="1654" w:type="dxa"/>
            <w:shd w:val="clear" w:color="auto" w:fill="auto"/>
            <w:vAlign w:val="bottom"/>
          </w:tcPr>
          <w:p w14:paraId="3569FBFA" w14:textId="77777777" w:rsidR="005307B5" w:rsidRPr="002E5315" w:rsidRDefault="005307B5" w:rsidP="005307B5">
            <w:pPr>
              <w:jc w:val="center"/>
              <w:rPr>
                <w:sz w:val="20"/>
                <w:szCs w:val="20"/>
              </w:rPr>
            </w:pPr>
            <w:r w:rsidRPr="002E5315">
              <w:rPr>
                <w:rFonts w:cs="Arial"/>
                <w:sz w:val="20"/>
                <w:szCs w:val="20"/>
                <w:lang w:eastAsia="en-US"/>
              </w:rPr>
              <w:t>1.15</w:t>
            </w:r>
          </w:p>
        </w:tc>
        <w:tc>
          <w:tcPr>
            <w:tcW w:w="1546" w:type="dxa"/>
            <w:shd w:val="clear" w:color="auto" w:fill="auto"/>
            <w:noWrap/>
            <w:vAlign w:val="center"/>
          </w:tcPr>
          <w:p w14:paraId="3DF4820F" w14:textId="77777777" w:rsidR="005307B5" w:rsidRPr="002E5315" w:rsidRDefault="005307B5" w:rsidP="005307B5">
            <w:pPr>
              <w:jc w:val="center"/>
              <w:rPr>
                <w:sz w:val="20"/>
                <w:szCs w:val="20"/>
              </w:rPr>
            </w:pPr>
            <w:r w:rsidRPr="002E5315">
              <w:rPr>
                <w:sz w:val="20"/>
                <w:szCs w:val="20"/>
              </w:rPr>
              <w:t>11</w:t>
            </w:r>
          </w:p>
        </w:tc>
      </w:tr>
      <w:tr w:rsidR="005307B5" w:rsidRPr="002E5315" w14:paraId="41D1D4B1"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51F0CA11" w14:textId="77777777" w:rsidR="005307B5" w:rsidRPr="002E5315" w:rsidRDefault="005307B5" w:rsidP="005307B5">
            <w:pPr>
              <w:rPr>
                <w:b/>
                <w:bCs/>
                <w:color w:val="000000"/>
                <w:sz w:val="20"/>
                <w:szCs w:val="20"/>
              </w:rPr>
            </w:pPr>
            <w:r w:rsidRPr="002E5315">
              <w:rPr>
                <w:bCs/>
                <w:color w:val="000000"/>
                <w:sz w:val="20"/>
                <w:szCs w:val="20"/>
              </w:rPr>
              <w:t>informacija u postupku usuglašavanja</w:t>
            </w:r>
          </w:p>
        </w:tc>
        <w:tc>
          <w:tcPr>
            <w:tcW w:w="1653" w:type="dxa"/>
            <w:tcBorders>
              <w:left w:val="nil"/>
              <w:right w:val="nil"/>
            </w:tcBorders>
            <w:shd w:val="clear" w:color="auto" w:fill="D9E2F3" w:themeFill="accent1" w:themeFillTint="33"/>
            <w:vAlign w:val="center"/>
          </w:tcPr>
          <w:p w14:paraId="1D84C864" w14:textId="77777777" w:rsidR="005307B5" w:rsidRPr="002E5315" w:rsidRDefault="005307B5" w:rsidP="005307B5">
            <w:pPr>
              <w:jc w:val="center"/>
              <w:rPr>
                <w:sz w:val="20"/>
                <w:szCs w:val="20"/>
              </w:rPr>
            </w:pPr>
            <w:r w:rsidRPr="002E5315">
              <w:rPr>
                <w:sz w:val="20"/>
                <w:szCs w:val="20"/>
              </w:rPr>
              <w:t>3</w:t>
            </w:r>
          </w:p>
        </w:tc>
        <w:tc>
          <w:tcPr>
            <w:tcW w:w="1654" w:type="dxa"/>
            <w:tcBorders>
              <w:left w:val="nil"/>
              <w:right w:val="nil"/>
            </w:tcBorders>
            <w:shd w:val="clear" w:color="auto" w:fill="D9E2F3" w:themeFill="accent1" w:themeFillTint="33"/>
            <w:vAlign w:val="bottom"/>
          </w:tcPr>
          <w:p w14:paraId="0A08727B" w14:textId="77777777" w:rsidR="005307B5" w:rsidRPr="002E5315" w:rsidRDefault="005307B5" w:rsidP="005307B5">
            <w:pPr>
              <w:jc w:val="center"/>
              <w:rPr>
                <w:sz w:val="20"/>
                <w:szCs w:val="20"/>
              </w:rPr>
            </w:pPr>
            <w:r w:rsidRPr="002E5315">
              <w:rPr>
                <w:rFonts w:cs="Arial"/>
                <w:sz w:val="20"/>
                <w:szCs w:val="20"/>
                <w:lang w:eastAsia="en-US"/>
              </w:rPr>
              <w:t>0.86</w:t>
            </w:r>
          </w:p>
        </w:tc>
        <w:tc>
          <w:tcPr>
            <w:tcW w:w="1546" w:type="dxa"/>
            <w:tcBorders>
              <w:left w:val="nil"/>
              <w:right w:val="nil"/>
            </w:tcBorders>
            <w:shd w:val="clear" w:color="auto" w:fill="D9E2F3" w:themeFill="accent1" w:themeFillTint="33"/>
            <w:noWrap/>
            <w:vAlign w:val="center"/>
          </w:tcPr>
          <w:p w14:paraId="011C9D79" w14:textId="77777777" w:rsidR="005307B5" w:rsidRPr="002E5315" w:rsidRDefault="005307B5" w:rsidP="005307B5">
            <w:pPr>
              <w:jc w:val="center"/>
              <w:rPr>
                <w:sz w:val="20"/>
                <w:szCs w:val="20"/>
              </w:rPr>
            </w:pPr>
            <w:r w:rsidRPr="002E5315">
              <w:rPr>
                <w:sz w:val="20"/>
                <w:szCs w:val="20"/>
              </w:rPr>
              <w:t>12</w:t>
            </w:r>
          </w:p>
        </w:tc>
      </w:tr>
      <w:tr w:rsidR="005307B5" w:rsidRPr="002E5315" w14:paraId="7F205B19" w14:textId="77777777" w:rsidTr="005307B5">
        <w:trPr>
          <w:trHeight w:val="282"/>
          <w:jc w:val="center"/>
        </w:trPr>
        <w:tc>
          <w:tcPr>
            <w:tcW w:w="4219" w:type="dxa"/>
            <w:shd w:val="clear" w:color="auto" w:fill="auto"/>
            <w:vAlign w:val="center"/>
            <w:hideMark/>
          </w:tcPr>
          <w:p w14:paraId="29D96AD0" w14:textId="77777777" w:rsidR="005307B5" w:rsidRPr="002E5315" w:rsidRDefault="005307B5" w:rsidP="005307B5">
            <w:pPr>
              <w:rPr>
                <w:b/>
                <w:bCs/>
                <w:color w:val="000000"/>
                <w:sz w:val="20"/>
                <w:szCs w:val="20"/>
              </w:rPr>
            </w:pPr>
            <w:r w:rsidRPr="002E5315">
              <w:rPr>
                <w:bCs/>
                <w:color w:val="000000"/>
                <w:sz w:val="20"/>
                <w:szCs w:val="20"/>
              </w:rPr>
              <w:t>zlouporaba prava na pristup informacijama</w:t>
            </w:r>
          </w:p>
        </w:tc>
        <w:tc>
          <w:tcPr>
            <w:tcW w:w="1653" w:type="dxa"/>
            <w:shd w:val="clear" w:color="auto" w:fill="auto"/>
            <w:vAlign w:val="center"/>
          </w:tcPr>
          <w:p w14:paraId="14E36AB5" w14:textId="77777777" w:rsidR="005307B5" w:rsidRPr="002E5315" w:rsidRDefault="005307B5" w:rsidP="005307B5">
            <w:pPr>
              <w:jc w:val="center"/>
              <w:rPr>
                <w:sz w:val="20"/>
                <w:szCs w:val="20"/>
                <w:highlight w:val="yellow"/>
              </w:rPr>
            </w:pPr>
            <w:r w:rsidRPr="002E5315">
              <w:rPr>
                <w:sz w:val="20"/>
                <w:szCs w:val="20"/>
              </w:rPr>
              <w:t>57</w:t>
            </w:r>
          </w:p>
        </w:tc>
        <w:tc>
          <w:tcPr>
            <w:tcW w:w="1654" w:type="dxa"/>
            <w:shd w:val="clear" w:color="auto" w:fill="auto"/>
            <w:vAlign w:val="bottom"/>
          </w:tcPr>
          <w:p w14:paraId="73815D9E" w14:textId="77777777" w:rsidR="005307B5" w:rsidRPr="002E5315" w:rsidRDefault="005307B5" w:rsidP="005307B5">
            <w:pPr>
              <w:jc w:val="center"/>
              <w:rPr>
                <w:sz w:val="20"/>
                <w:szCs w:val="20"/>
              </w:rPr>
            </w:pPr>
            <w:r w:rsidRPr="002E5315">
              <w:rPr>
                <w:rFonts w:cs="Arial"/>
                <w:sz w:val="20"/>
                <w:szCs w:val="20"/>
                <w:lang w:eastAsia="en-US"/>
              </w:rPr>
              <w:t>16.33</w:t>
            </w:r>
          </w:p>
        </w:tc>
        <w:tc>
          <w:tcPr>
            <w:tcW w:w="1546" w:type="dxa"/>
            <w:shd w:val="clear" w:color="auto" w:fill="auto"/>
            <w:noWrap/>
            <w:vAlign w:val="center"/>
          </w:tcPr>
          <w:p w14:paraId="44F17B9F" w14:textId="77777777" w:rsidR="005307B5" w:rsidRPr="002E5315" w:rsidRDefault="005307B5" w:rsidP="005307B5">
            <w:pPr>
              <w:jc w:val="center"/>
              <w:rPr>
                <w:sz w:val="20"/>
                <w:szCs w:val="20"/>
              </w:rPr>
            </w:pPr>
            <w:r w:rsidRPr="002E5315">
              <w:rPr>
                <w:sz w:val="20"/>
                <w:szCs w:val="20"/>
              </w:rPr>
              <w:t>3</w:t>
            </w:r>
          </w:p>
        </w:tc>
      </w:tr>
      <w:tr w:rsidR="005307B5" w:rsidRPr="002E5315" w14:paraId="3B9A2DDA"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1753D435" w14:textId="77777777" w:rsidR="005307B5" w:rsidRPr="002E5315" w:rsidRDefault="005307B5" w:rsidP="005307B5">
            <w:pPr>
              <w:rPr>
                <w:b/>
                <w:bCs/>
                <w:color w:val="000000"/>
                <w:sz w:val="20"/>
                <w:szCs w:val="20"/>
              </w:rPr>
            </w:pPr>
            <w:r w:rsidRPr="002E5315">
              <w:rPr>
                <w:bCs/>
                <w:color w:val="000000"/>
                <w:sz w:val="20"/>
                <w:szCs w:val="20"/>
              </w:rPr>
              <w:t>ne smatra se informacijom u smislu ZPPI-ja</w:t>
            </w:r>
          </w:p>
        </w:tc>
        <w:tc>
          <w:tcPr>
            <w:tcW w:w="1653" w:type="dxa"/>
            <w:tcBorders>
              <w:left w:val="nil"/>
              <w:right w:val="nil"/>
            </w:tcBorders>
            <w:shd w:val="clear" w:color="auto" w:fill="D9E2F3" w:themeFill="accent1" w:themeFillTint="33"/>
            <w:vAlign w:val="center"/>
          </w:tcPr>
          <w:p w14:paraId="0600AE21" w14:textId="77777777" w:rsidR="005307B5" w:rsidRPr="002E5315" w:rsidRDefault="005307B5" w:rsidP="005307B5">
            <w:pPr>
              <w:jc w:val="center"/>
              <w:rPr>
                <w:sz w:val="20"/>
                <w:szCs w:val="20"/>
                <w:highlight w:val="yellow"/>
              </w:rPr>
            </w:pPr>
            <w:r w:rsidRPr="002E5315">
              <w:rPr>
                <w:sz w:val="20"/>
                <w:szCs w:val="20"/>
              </w:rPr>
              <w:t>30</w:t>
            </w:r>
          </w:p>
        </w:tc>
        <w:tc>
          <w:tcPr>
            <w:tcW w:w="1654" w:type="dxa"/>
            <w:tcBorders>
              <w:left w:val="nil"/>
              <w:right w:val="nil"/>
            </w:tcBorders>
            <w:shd w:val="clear" w:color="auto" w:fill="D9E2F3" w:themeFill="accent1" w:themeFillTint="33"/>
            <w:vAlign w:val="bottom"/>
          </w:tcPr>
          <w:p w14:paraId="6324D64B" w14:textId="77777777" w:rsidR="005307B5" w:rsidRPr="002E5315" w:rsidRDefault="005307B5" w:rsidP="005307B5">
            <w:pPr>
              <w:jc w:val="center"/>
              <w:rPr>
                <w:sz w:val="20"/>
                <w:szCs w:val="20"/>
              </w:rPr>
            </w:pPr>
            <w:r w:rsidRPr="002E5315">
              <w:rPr>
                <w:rFonts w:cs="Arial"/>
                <w:sz w:val="20"/>
                <w:szCs w:val="20"/>
                <w:lang w:eastAsia="en-US"/>
              </w:rPr>
              <w:t>8.60</w:t>
            </w:r>
          </w:p>
        </w:tc>
        <w:tc>
          <w:tcPr>
            <w:tcW w:w="1546" w:type="dxa"/>
            <w:tcBorders>
              <w:left w:val="nil"/>
              <w:right w:val="nil"/>
            </w:tcBorders>
            <w:shd w:val="clear" w:color="auto" w:fill="D9E2F3" w:themeFill="accent1" w:themeFillTint="33"/>
            <w:noWrap/>
            <w:vAlign w:val="center"/>
          </w:tcPr>
          <w:p w14:paraId="173DDED4" w14:textId="77777777" w:rsidR="005307B5" w:rsidRPr="002E5315" w:rsidRDefault="005307B5" w:rsidP="005307B5">
            <w:pPr>
              <w:jc w:val="center"/>
              <w:rPr>
                <w:sz w:val="20"/>
                <w:szCs w:val="20"/>
              </w:rPr>
            </w:pPr>
            <w:r w:rsidRPr="002E5315">
              <w:rPr>
                <w:sz w:val="20"/>
                <w:szCs w:val="20"/>
              </w:rPr>
              <w:t>5</w:t>
            </w:r>
          </w:p>
        </w:tc>
      </w:tr>
      <w:tr w:rsidR="005307B5" w:rsidRPr="002E5315" w14:paraId="6AF92B58" w14:textId="77777777" w:rsidTr="005307B5">
        <w:trPr>
          <w:trHeight w:val="282"/>
          <w:jc w:val="center"/>
        </w:trPr>
        <w:tc>
          <w:tcPr>
            <w:tcW w:w="4219" w:type="dxa"/>
            <w:shd w:val="clear" w:color="auto" w:fill="auto"/>
            <w:vAlign w:val="center"/>
            <w:hideMark/>
          </w:tcPr>
          <w:p w14:paraId="24DDDEEF" w14:textId="77777777" w:rsidR="005307B5" w:rsidRPr="002E5315" w:rsidRDefault="005307B5" w:rsidP="005307B5">
            <w:pPr>
              <w:rPr>
                <w:b/>
                <w:bCs/>
                <w:color w:val="000000"/>
                <w:sz w:val="20"/>
                <w:szCs w:val="20"/>
              </w:rPr>
            </w:pPr>
            <w:r w:rsidRPr="002E5315">
              <w:rPr>
                <w:bCs/>
                <w:color w:val="000000"/>
                <w:sz w:val="20"/>
                <w:szCs w:val="20"/>
              </w:rPr>
              <w:t>nema osnove za dopunu ili ispravak</w:t>
            </w:r>
          </w:p>
        </w:tc>
        <w:tc>
          <w:tcPr>
            <w:tcW w:w="1653" w:type="dxa"/>
            <w:shd w:val="clear" w:color="auto" w:fill="auto"/>
            <w:vAlign w:val="center"/>
          </w:tcPr>
          <w:p w14:paraId="6EBE4F63" w14:textId="77777777" w:rsidR="005307B5" w:rsidRPr="002E5315" w:rsidRDefault="005307B5" w:rsidP="005307B5">
            <w:pPr>
              <w:jc w:val="center"/>
              <w:rPr>
                <w:sz w:val="20"/>
                <w:szCs w:val="20"/>
              </w:rPr>
            </w:pPr>
            <w:r w:rsidRPr="002E5315">
              <w:rPr>
                <w:sz w:val="20"/>
                <w:szCs w:val="20"/>
              </w:rPr>
              <w:t>6</w:t>
            </w:r>
          </w:p>
        </w:tc>
        <w:tc>
          <w:tcPr>
            <w:tcW w:w="1654" w:type="dxa"/>
            <w:shd w:val="clear" w:color="auto" w:fill="auto"/>
            <w:vAlign w:val="bottom"/>
          </w:tcPr>
          <w:p w14:paraId="15F87DA2" w14:textId="77777777" w:rsidR="005307B5" w:rsidRPr="002E5315" w:rsidRDefault="005307B5" w:rsidP="005307B5">
            <w:pPr>
              <w:jc w:val="center"/>
              <w:rPr>
                <w:sz w:val="20"/>
                <w:szCs w:val="20"/>
              </w:rPr>
            </w:pPr>
            <w:r w:rsidRPr="002E5315">
              <w:rPr>
                <w:rFonts w:cs="Arial"/>
                <w:sz w:val="20"/>
                <w:szCs w:val="20"/>
                <w:lang w:eastAsia="en-US"/>
              </w:rPr>
              <w:t>1.72</w:t>
            </w:r>
          </w:p>
        </w:tc>
        <w:tc>
          <w:tcPr>
            <w:tcW w:w="1546" w:type="dxa"/>
            <w:shd w:val="clear" w:color="auto" w:fill="auto"/>
            <w:noWrap/>
            <w:vAlign w:val="center"/>
          </w:tcPr>
          <w:p w14:paraId="78F85C48" w14:textId="77777777" w:rsidR="005307B5" w:rsidRPr="002E5315" w:rsidRDefault="005307B5" w:rsidP="005307B5">
            <w:pPr>
              <w:jc w:val="center"/>
              <w:rPr>
                <w:sz w:val="20"/>
                <w:szCs w:val="20"/>
              </w:rPr>
            </w:pPr>
            <w:r w:rsidRPr="002E5315">
              <w:rPr>
                <w:sz w:val="20"/>
                <w:szCs w:val="20"/>
              </w:rPr>
              <w:t>10</w:t>
            </w:r>
          </w:p>
        </w:tc>
      </w:tr>
      <w:tr w:rsidR="005307B5" w:rsidRPr="002E5315" w14:paraId="17612707" w14:textId="77777777" w:rsidTr="00756407">
        <w:trPr>
          <w:trHeight w:val="282"/>
          <w:jc w:val="center"/>
        </w:trPr>
        <w:tc>
          <w:tcPr>
            <w:tcW w:w="4219" w:type="dxa"/>
            <w:tcBorders>
              <w:left w:val="nil"/>
              <w:right w:val="nil"/>
            </w:tcBorders>
            <w:shd w:val="clear" w:color="auto" w:fill="D9E2F3" w:themeFill="accent1" w:themeFillTint="33"/>
            <w:vAlign w:val="center"/>
            <w:hideMark/>
          </w:tcPr>
          <w:p w14:paraId="7400AC1A" w14:textId="77777777" w:rsidR="005307B5" w:rsidRPr="002E5315" w:rsidRDefault="005307B5" w:rsidP="005307B5">
            <w:pPr>
              <w:rPr>
                <w:b/>
                <w:bCs/>
                <w:color w:val="000000"/>
                <w:sz w:val="20"/>
                <w:szCs w:val="20"/>
              </w:rPr>
            </w:pPr>
            <w:r w:rsidRPr="002E5315">
              <w:rPr>
                <w:bCs/>
                <w:color w:val="000000"/>
                <w:sz w:val="20"/>
                <w:szCs w:val="20"/>
              </w:rPr>
              <w:t>ne posjeduje informaciju</w:t>
            </w:r>
          </w:p>
        </w:tc>
        <w:tc>
          <w:tcPr>
            <w:tcW w:w="1653" w:type="dxa"/>
            <w:tcBorders>
              <w:left w:val="nil"/>
              <w:right w:val="nil"/>
            </w:tcBorders>
            <w:shd w:val="clear" w:color="auto" w:fill="D9E2F3" w:themeFill="accent1" w:themeFillTint="33"/>
            <w:vAlign w:val="center"/>
          </w:tcPr>
          <w:p w14:paraId="58D75941" w14:textId="77777777" w:rsidR="005307B5" w:rsidRPr="002E5315" w:rsidRDefault="005307B5" w:rsidP="005307B5">
            <w:pPr>
              <w:jc w:val="center"/>
              <w:rPr>
                <w:sz w:val="20"/>
                <w:szCs w:val="20"/>
              </w:rPr>
            </w:pPr>
            <w:r w:rsidRPr="002E5315">
              <w:rPr>
                <w:sz w:val="20"/>
                <w:szCs w:val="20"/>
              </w:rPr>
              <w:t>54</w:t>
            </w:r>
          </w:p>
        </w:tc>
        <w:tc>
          <w:tcPr>
            <w:tcW w:w="1654" w:type="dxa"/>
            <w:tcBorders>
              <w:left w:val="nil"/>
              <w:right w:val="nil"/>
            </w:tcBorders>
            <w:shd w:val="clear" w:color="auto" w:fill="D9E2F3" w:themeFill="accent1" w:themeFillTint="33"/>
            <w:vAlign w:val="bottom"/>
          </w:tcPr>
          <w:p w14:paraId="5887FD89" w14:textId="77777777" w:rsidR="005307B5" w:rsidRPr="002E5315" w:rsidRDefault="005307B5" w:rsidP="005307B5">
            <w:pPr>
              <w:jc w:val="center"/>
              <w:rPr>
                <w:sz w:val="20"/>
                <w:szCs w:val="20"/>
              </w:rPr>
            </w:pPr>
            <w:r w:rsidRPr="002E5315">
              <w:rPr>
                <w:rFonts w:cs="Arial"/>
                <w:sz w:val="20"/>
                <w:szCs w:val="20"/>
                <w:lang w:eastAsia="en-US"/>
              </w:rPr>
              <w:t>15.47</w:t>
            </w:r>
          </w:p>
        </w:tc>
        <w:tc>
          <w:tcPr>
            <w:tcW w:w="1546" w:type="dxa"/>
            <w:tcBorders>
              <w:left w:val="nil"/>
              <w:right w:val="nil"/>
            </w:tcBorders>
            <w:shd w:val="clear" w:color="auto" w:fill="D9E2F3" w:themeFill="accent1" w:themeFillTint="33"/>
            <w:noWrap/>
            <w:vAlign w:val="center"/>
          </w:tcPr>
          <w:p w14:paraId="74165253" w14:textId="77777777" w:rsidR="005307B5" w:rsidRPr="002E5315" w:rsidRDefault="005307B5" w:rsidP="005307B5">
            <w:pPr>
              <w:jc w:val="center"/>
              <w:rPr>
                <w:sz w:val="20"/>
                <w:szCs w:val="20"/>
              </w:rPr>
            </w:pPr>
            <w:r w:rsidRPr="002E5315">
              <w:rPr>
                <w:sz w:val="20"/>
                <w:szCs w:val="20"/>
              </w:rPr>
              <w:t>4</w:t>
            </w:r>
          </w:p>
        </w:tc>
      </w:tr>
      <w:tr w:rsidR="005307B5" w:rsidRPr="002E5315" w14:paraId="3DA538C2" w14:textId="77777777" w:rsidTr="005307B5">
        <w:trPr>
          <w:trHeight w:val="282"/>
          <w:jc w:val="center"/>
        </w:trPr>
        <w:tc>
          <w:tcPr>
            <w:tcW w:w="4219" w:type="dxa"/>
            <w:tcBorders>
              <w:left w:val="nil"/>
              <w:right w:val="nil"/>
            </w:tcBorders>
            <w:shd w:val="clear" w:color="auto" w:fill="FFFFFF" w:themeFill="background1"/>
            <w:vAlign w:val="center"/>
            <w:hideMark/>
          </w:tcPr>
          <w:p w14:paraId="0522E82D" w14:textId="77777777" w:rsidR="005307B5" w:rsidRPr="002E5315" w:rsidRDefault="005307B5" w:rsidP="002E5315">
            <w:pPr>
              <w:jc w:val="left"/>
              <w:rPr>
                <w:b/>
                <w:bCs/>
                <w:color w:val="000000"/>
                <w:sz w:val="20"/>
                <w:szCs w:val="20"/>
              </w:rPr>
            </w:pPr>
            <w:r w:rsidRPr="002E5315">
              <w:rPr>
                <w:b/>
                <w:bCs/>
                <w:color w:val="000000"/>
                <w:sz w:val="20"/>
                <w:szCs w:val="20"/>
              </w:rPr>
              <w:t>Ukupno</w:t>
            </w:r>
          </w:p>
        </w:tc>
        <w:tc>
          <w:tcPr>
            <w:tcW w:w="1653" w:type="dxa"/>
            <w:tcBorders>
              <w:left w:val="nil"/>
              <w:right w:val="nil"/>
            </w:tcBorders>
            <w:shd w:val="clear" w:color="auto" w:fill="FFFFFF" w:themeFill="background1"/>
            <w:vAlign w:val="center"/>
          </w:tcPr>
          <w:p w14:paraId="2731B568" w14:textId="77777777" w:rsidR="005307B5" w:rsidRPr="002E5315" w:rsidRDefault="005307B5" w:rsidP="005307B5">
            <w:pPr>
              <w:jc w:val="center"/>
              <w:rPr>
                <w:b/>
                <w:sz w:val="20"/>
                <w:szCs w:val="20"/>
                <w:highlight w:val="yellow"/>
              </w:rPr>
            </w:pPr>
            <w:r w:rsidRPr="002E5315">
              <w:rPr>
                <w:b/>
                <w:sz w:val="20"/>
                <w:szCs w:val="20"/>
              </w:rPr>
              <w:t>349</w:t>
            </w:r>
          </w:p>
        </w:tc>
        <w:tc>
          <w:tcPr>
            <w:tcW w:w="1654" w:type="dxa"/>
            <w:tcBorders>
              <w:left w:val="nil"/>
              <w:right w:val="nil"/>
            </w:tcBorders>
            <w:shd w:val="clear" w:color="auto" w:fill="FFFFFF" w:themeFill="background1"/>
            <w:vAlign w:val="bottom"/>
          </w:tcPr>
          <w:p w14:paraId="39090CF5" w14:textId="77777777" w:rsidR="005307B5" w:rsidRPr="002E5315" w:rsidRDefault="005307B5" w:rsidP="005307B5">
            <w:pPr>
              <w:jc w:val="center"/>
              <w:rPr>
                <w:b/>
                <w:color w:val="000000"/>
                <w:sz w:val="20"/>
                <w:szCs w:val="20"/>
              </w:rPr>
            </w:pPr>
            <w:r w:rsidRPr="002E5315">
              <w:rPr>
                <w:rFonts w:cs="Arial"/>
                <w:sz w:val="20"/>
                <w:szCs w:val="20"/>
                <w:lang w:eastAsia="en-US"/>
              </w:rPr>
              <w:t>100</w:t>
            </w:r>
          </w:p>
        </w:tc>
        <w:tc>
          <w:tcPr>
            <w:tcW w:w="1546" w:type="dxa"/>
            <w:tcBorders>
              <w:left w:val="nil"/>
              <w:right w:val="nil"/>
            </w:tcBorders>
            <w:shd w:val="clear" w:color="auto" w:fill="FFFFFF" w:themeFill="background1"/>
            <w:noWrap/>
            <w:vAlign w:val="center"/>
          </w:tcPr>
          <w:p w14:paraId="2B42D2FF" w14:textId="77777777" w:rsidR="005307B5" w:rsidRPr="002E5315" w:rsidRDefault="005307B5" w:rsidP="005307B5">
            <w:pPr>
              <w:jc w:val="center"/>
              <w:rPr>
                <w:rFonts w:cs="Calibri"/>
                <w:b/>
                <w:color w:val="000000"/>
                <w:sz w:val="20"/>
                <w:szCs w:val="20"/>
              </w:rPr>
            </w:pPr>
            <w:r w:rsidRPr="002E5315">
              <w:rPr>
                <w:rFonts w:cs="Calibri"/>
                <w:b/>
                <w:color w:val="000000"/>
                <w:sz w:val="20"/>
                <w:szCs w:val="20"/>
              </w:rPr>
              <w:t>-</w:t>
            </w:r>
          </w:p>
        </w:tc>
      </w:tr>
    </w:tbl>
    <w:p w14:paraId="5BB485DD" w14:textId="0FC33493" w:rsidR="005307B5" w:rsidRPr="002E5315" w:rsidRDefault="005307B5" w:rsidP="00892BF9">
      <w:pPr>
        <w:pStyle w:val="Naslov2"/>
      </w:pPr>
      <w:bookmarkStart w:id="21" w:name="_Toc36308926"/>
      <w:r w:rsidRPr="002E5315">
        <w:t>Rješavanje žalbi</w:t>
      </w:r>
      <w:bookmarkEnd w:id="21"/>
    </w:p>
    <w:p w14:paraId="2661BD9C" w14:textId="77777777" w:rsidR="00633D93" w:rsidRDefault="00062EB1" w:rsidP="00062EB1">
      <w:pPr>
        <w:shd w:val="clear" w:color="auto" w:fill="FFFFFF" w:themeFill="background1"/>
        <w:tabs>
          <w:tab w:val="left" w:pos="-1843"/>
        </w:tabs>
        <w:rPr>
          <w:rFonts w:cstheme="minorBidi"/>
          <w:szCs w:val="23"/>
        </w:rPr>
      </w:pPr>
      <w:r w:rsidRPr="002E5315">
        <w:rPr>
          <w:rFonts w:cstheme="minorBidi"/>
          <w:szCs w:val="23"/>
        </w:rPr>
        <w:t xml:space="preserve">Osim žalbi zaprimljenih tijekom 2019., iz prethodnog razdoblja u rad je preneseno 307 žalbi, tako da je </w:t>
      </w:r>
      <w:r w:rsidRPr="002E5315">
        <w:rPr>
          <w:rFonts w:cstheme="minorBidi"/>
          <w:b/>
          <w:bCs/>
          <w:szCs w:val="23"/>
        </w:rPr>
        <w:t>tijekom 2019.</w:t>
      </w:r>
      <w:r w:rsidRPr="002E5315">
        <w:rPr>
          <w:rFonts w:cstheme="minorBidi"/>
          <w:szCs w:val="23"/>
        </w:rPr>
        <w:t xml:space="preserve"> </w:t>
      </w:r>
      <w:r w:rsidRPr="002E5315">
        <w:rPr>
          <w:rFonts w:cstheme="minorBidi"/>
          <w:b/>
          <w:bCs/>
          <w:szCs w:val="23"/>
        </w:rPr>
        <w:t>u rješavanju bila ukupno 1121 žalba</w:t>
      </w:r>
      <w:r w:rsidRPr="002E5315">
        <w:rPr>
          <w:rFonts w:cstheme="minorBidi"/>
          <w:szCs w:val="23"/>
        </w:rPr>
        <w:t>.</w:t>
      </w:r>
      <w:r w:rsidR="00954DB8" w:rsidRPr="002E5315">
        <w:rPr>
          <w:rFonts w:cstheme="minorBidi"/>
          <w:szCs w:val="23"/>
        </w:rPr>
        <w:t xml:space="preserve"> </w:t>
      </w:r>
      <w:r w:rsidRPr="002E5315">
        <w:rPr>
          <w:rFonts w:cstheme="minorBidi"/>
          <w:szCs w:val="23"/>
        </w:rPr>
        <w:t>Od ukupnog broja žalbi,</w:t>
      </w:r>
      <w:r w:rsidR="00954DB8" w:rsidRPr="002E5315">
        <w:rPr>
          <w:rFonts w:cstheme="minorBidi"/>
          <w:szCs w:val="23"/>
        </w:rPr>
        <w:t xml:space="preserve"> </w:t>
      </w:r>
      <w:r w:rsidRPr="002E5315">
        <w:rPr>
          <w:rFonts w:cstheme="minorBidi"/>
          <w:b/>
          <w:bCs/>
          <w:szCs w:val="23"/>
        </w:rPr>
        <w:t>riješeno je ukupno 889 žalbi ili 79,30%,</w:t>
      </w:r>
      <w:r w:rsidRPr="002E5315">
        <w:rPr>
          <w:rFonts w:cstheme="minorBidi"/>
          <w:szCs w:val="23"/>
        </w:rPr>
        <w:t xml:space="preserve"> dok su 232 žalbe (20,70%) ostale neriješene te su prenesene u rad u 2020. (Tablica 3.5.). U neriješene žalbe su uračunate i žalbe kojima nije protekao zakonski rok za rješavanje (30, 60, odnosno 90 dana)</w:t>
      </w:r>
      <w:r w:rsidR="00633D93">
        <w:rPr>
          <w:rFonts w:cstheme="minorBidi"/>
          <w:szCs w:val="23"/>
        </w:rPr>
        <w:t>.</w:t>
      </w:r>
    </w:p>
    <w:p w14:paraId="461A2EE5" w14:textId="2E91B1E0" w:rsidR="00617D32" w:rsidRPr="002E5315" w:rsidRDefault="00062EB1" w:rsidP="00062EB1">
      <w:pPr>
        <w:shd w:val="clear" w:color="auto" w:fill="FFFFFF" w:themeFill="background1"/>
        <w:tabs>
          <w:tab w:val="left" w:pos="-1843"/>
        </w:tabs>
        <w:rPr>
          <w:rFonts w:cstheme="minorHAnsi"/>
          <w:szCs w:val="23"/>
        </w:rPr>
      </w:pPr>
      <w:r w:rsidRPr="002E5315">
        <w:rPr>
          <w:rFonts w:cstheme="minorBidi"/>
          <w:szCs w:val="23"/>
        </w:rPr>
        <w:t xml:space="preserve">U odnosu na ukupan broj žalbenih predmeta u rješavanju, </w:t>
      </w:r>
      <w:r w:rsidRPr="002E5315">
        <w:rPr>
          <w:rFonts w:cstheme="minorBidi"/>
          <w:b/>
          <w:bCs/>
          <w:szCs w:val="23"/>
        </w:rPr>
        <w:t>na</w:t>
      </w:r>
      <w:r w:rsidRPr="002E5315">
        <w:rPr>
          <w:rFonts w:cstheme="minorBidi"/>
          <w:szCs w:val="23"/>
        </w:rPr>
        <w:t xml:space="preserve"> </w:t>
      </w:r>
      <w:r w:rsidRPr="002E5315">
        <w:rPr>
          <w:rFonts w:cstheme="minorBidi"/>
          <w:b/>
          <w:bCs/>
          <w:szCs w:val="23"/>
        </w:rPr>
        <w:t>šutnju uprave se odnosi 559 ili 49,90%,</w:t>
      </w:r>
      <w:r w:rsidRPr="002E5315">
        <w:rPr>
          <w:rFonts w:cstheme="minorBidi"/>
          <w:szCs w:val="23"/>
        </w:rPr>
        <w:t xml:space="preserve"> a 562 ili 50,10% su žalbe na rješenja kojima je u cijelosti ili djelomično odbijen ili odbačen zahtjev korisnika, odnosno na rješenja po prigovoru na izdane obavijesti iz članka 23. stavka 1. točke 2. - 6. ZPPI-ja</w:t>
      </w:r>
      <w:r w:rsidR="005307B5" w:rsidRPr="002E5315">
        <w:rPr>
          <w:rFonts w:cstheme="minorHAnsi"/>
          <w:szCs w:val="23"/>
        </w:rPr>
        <w:t>.</w:t>
      </w:r>
    </w:p>
    <w:p w14:paraId="513FAE40" w14:textId="2A5EC335" w:rsidR="005307B5" w:rsidRPr="002E5315" w:rsidRDefault="00617D32" w:rsidP="00617D32">
      <w:pPr>
        <w:spacing w:after="0" w:line="240" w:lineRule="auto"/>
        <w:jc w:val="left"/>
        <w:rPr>
          <w:rFonts w:cstheme="minorHAnsi"/>
          <w:szCs w:val="23"/>
        </w:rPr>
      </w:pPr>
      <w:r w:rsidRPr="002E5315">
        <w:rPr>
          <w:rFonts w:cstheme="minorHAnsi"/>
          <w:szCs w:val="23"/>
        </w:rPr>
        <w:br w:type="page"/>
      </w:r>
    </w:p>
    <w:p w14:paraId="130CB40E" w14:textId="1CDBA3AE" w:rsidR="005307B5" w:rsidRPr="002E5315" w:rsidRDefault="005307B5" w:rsidP="005307B5">
      <w:pPr>
        <w:keepNext/>
        <w:spacing w:before="240"/>
        <w:rPr>
          <w:rFonts w:cs="Arial"/>
          <w:sz w:val="20"/>
          <w:szCs w:val="20"/>
        </w:rPr>
      </w:pPr>
      <w:r w:rsidRPr="002E5315">
        <w:rPr>
          <w:rFonts w:cs="Arial"/>
          <w:sz w:val="20"/>
          <w:szCs w:val="20"/>
        </w:rPr>
        <w:lastRenderedPageBreak/>
        <w:t xml:space="preserve">Tablica </w:t>
      </w:r>
      <w:r w:rsidR="00892BF9" w:rsidRPr="002E5315">
        <w:rPr>
          <w:rFonts w:cs="Arial"/>
          <w:sz w:val="20"/>
          <w:szCs w:val="20"/>
        </w:rPr>
        <w:t>3</w:t>
      </w:r>
      <w:r w:rsidRPr="002E5315">
        <w:rPr>
          <w:rFonts w:cs="Arial"/>
          <w:sz w:val="20"/>
          <w:szCs w:val="20"/>
        </w:rPr>
        <w:t>.</w:t>
      </w:r>
      <w:r w:rsidR="00892BF9" w:rsidRPr="002E5315">
        <w:rPr>
          <w:rFonts w:cs="Arial"/>
          <w:sz w:val="20"/>
          <w:szCs w:val="20"/>
        </w:rPr>
        <w:t>5</w:t>
      </w:r>
      <w:r w:rsidRPr="002E5315">
        <w:rPr>
          <w:rFonts w:cs="Arial"/>
          <w:sz w:val="20"/>
          <w:szCs w:val="20"/>
        </w:rPr>
        <w:t>. Rješavanje žalbi u 2019.</w:t>
      </w:r>
    </w:p>
    <w:tbl>
      <w:tblPr>
        <w:tblW w:w="9090" w:type="dxa"/>
        <w:jc w:val="center"/>
        <w:tblBorders>
          <w:top w:val="single" w:sz="8" w:space="0" w:color="4F81BD"/>
          <w:bottom w:val="single" w:sz="8" w:space="0" w:color="4F81BD"/>
        </w:tblBorders>
        <w:tblLook w:val="04A0" w:firstRow="1" w:lastRow="0" w:firstColumn="1" w:lastColumn="0" w:noHBand="0" w:noVBand="1"/>
      </w:tblPr>
      <w:tblGrid>
        <w:gridCol w:w="1617"/>
        <w:gridCol w:w="964"/>
        <w:gridCol w:w="827"/>
        <w:gridCol w:w="965"/>
        <w:gridCol w:w="964"/>
        <w:gridCol w:w="1011"/>
        <w:gridCol w:w="1039"/>
        <w:gridCol w:w="864"/>
        <w:gridCol w:w="839"/>
      </w:tblGrid>
      <w:tr w:rsidR="005307B5" w:rsidRPr="002E5315" w14:paraId="55F4844F" w14:textId="77777777" w:rsidTr="005307B5">
        <w:trPr>
          <w:trHeight w:val="367"/>
          <w:jc w:val="center"/>
        </w:trPr>
        <w:tc>
          <w:tcPr>
            <w:tcW w:w="2581" w:type="dxa"/>
            <w:gridSpan w:val="2"/>
            <w:tcBorders>
              <w:top w:val="single" w:sz="8" w:space="0" w:color="4F81BD"/>
              <w:left w:val="nil"/>
              <w:bottom w:val="single" w:sz="8" w:space="0" w:color="4F81BD"/>
              <w:right w:val="nil"/>
            </w:tcBorders>
            <w:shd w:val="clear" w:color="auto" w:fill="auto"/>
            <w:vAlign w:val="center"/>
            <w:hideMark/>
          </w:tcPr>
          <w:p w14:paraId="696438A7" w14:textId="77777777" w:rsidR="005307B5" w:rsidRPr="002E5315" w:rsidRDefault="005307B5" w:rsidP="005307B5">
            <w:pPr>
              <w:contextualSpacing/>
              <w:jc w:val="center"/>
              <w:rPr>
                <w:rFonts w:cs="Arial"/>
                <w:b/>
                <w:bCs/>
                <w:sz w:val="20"/>
                <w:szCs w:val="20"/>
              </w:rPr>
            </w:pPr>
            <w:r w:rsidRPr="002E5315">
              <w:rPr>
                <w:rFonts w:cs="Arial"/>
                <w:b/>
                <w:sz w:val="20"/>
                <w:szCs w:val="20"/>
              </w:rPr>
              <w:t>Žalbe 2019.</w:t>
            </w:r>
          </w:p>
        </w:tc>
        <w:tc>
          <w:tcPr>
            <w:tcW w:w="3767" w:type="dxa"/>
            <w:gridSpan w:val="4"/>
            <w:tcBorders>
              <w:top w:val="single" w:sz="8" w:space="0" w:color="4F81BD"/>
              <w:left w:val="nil"/>
              <w:bottom w:val="single" w:sz="8" w:space="0" w:color="4F81BD"/>
              <w:right w:val="nil"/>
            </w:tcBorders>
            <w:shd w:val="clear" w:color="auto" w:fill="auto"/>
            <w:noWrap/>
            <w:vAlign w:val="center"/>
            <w:hideMark/>
          </w:tcPr>
          <w:p w14:paraId="44DE4804" w14:textId="77777777" w:rsidR="005307B5" w:rsidRPr="002E5315" w:rsidRDefault="005307B5" w:rsidP="005307B5">
            <w:pPr>
              <w:contextualSpacing/>
              <w:jc w:val="center"/>
              <w:rPr>
                <w:rFonts w:cs="Arial"/>
                <w:b/>
                <w:sz w:val="20"/>
                <w:szCs w:val="20"/>
              </w:rPr>
            </w:pPr>
            <w:r w:rsidRPr="002E5315">
              <w:rPr>
                <w:rFonts w:cs="Arial"/>
                <w:b/>
                <w:sz w:val="20"/>
                <w:szCs w:val="20"/>
              </w:rPr>
              <w:t>Rješavanje žalbi</w:t>
            </w:r>
          </w:p>
        </w:tc>
        <w:tc>
          <w:tcPr>
            <w:tcW w:w="2742" w:type="dxa"/>
            <w:gridSpan w:val="3"/>
            <w:tcBorders>
              <w:top w:val="single" w:sz="8" w:space="0" w:color="4F81BD"/>
              <w:left w:val="nil"/>
              <w:bottom w:val="single" w:sz="8" w:space="0" w:color="4F81BD"/>
              <w:right w:val="nil"/>
            </w:tcBorders>
            <w:shd w:val="clear" w:color="auto" w:fill="auto"/>
            <w:noWrap/>
            <w:vAlign w:val="center"/>
            <w:hideMark/>
          </w:tcPr>
          <w:p w14:paraId="1E7DAA21" w14:textId="77777777" w:rsidR="005307B5" w:rsidRPr="002E5315" w:rsidRDefault="005307B5" w:rsidP="005307B5">
            <w:pPr>
              <w:contextualSpacing/>
              <w:jc w:val="center"/>
              <w:rPr>
                <w:rFonts w:cs="Arial"/>
                <w:b/>
                <w:bCs/>
                <w:sz w:val="20"/>
                <w:szCs w:val="20"/>
              </w:rPr>
            </w:pPr>
            <w:r w:rsidRPr="002E5315">
              <w:rPr>
                <w:rFonts w:cs="Arial"/>
                <w:b/>
                <w:sz w:val="20"/>
                <w:szCs w:val="20"/>
              </w:rPr>
              <w:t>Vrsta žalbe</w:t>
            </w:r>
          </w:p>
        </w:tc>
      </w:tr>
      <w:tr w:rsidR="005307B5" w:rsidRPr="002E5315" w14:paraId="1699702B" w14:textId="77777777" w:rsidTr="00756407">
        <w:trPr>
          <w:trHeight w:val="665"/>
          <w:jc w:val="center"/>
        </w:trPr>
        <w:tc>
          <w:tcPr>
            <w:tcW w:w="1617" w:type="dxa"/>
            <w:tcBorders>
              <w:top w:val="nil"/>
              <w:left w:val="nil"/>
              <w:bottom w:val="nil"/>
              <w:right w:val="nil"/>
            </w:tcBorders>
            <w:shd w:val="clear" w:color="auto" w:fill="D9E2F3" w:themeFill="accent1" w:themeFillTint="33"/>
            <w:vAlign w:val="center"/>
            <w:hideMark/>
          </w:tcPr>
          <w:p w14:paraId="2084C01D" w14:textId="77777777" w:rsidR="005307B5" w:rsidRPr="002E5315" w:rsidRDefault="005307B5" w:rsidP="005307B5">
            <w:pPr>
              <w:contextualSpacing/>
              <w:rPr>
                <w:rFonts w:eastAsia="Calibri"/>
                <w:b/>
                <w:bCs/>
                <w:sz w:val="16"/>
                <w:szCs w:val="16"/>
              </w:rPr>
            </w:pPr>
          </w:p>
        </w:tc>
        <w:tc>
          <w:tcPr>
            <w:tcW w:w="964" w:type="dxa"/>
            <w:tcBorders>
              <w:top w:val="nil"/>
              <w:left w:val="nil"/>
              <w:bottom w:val="nil"/>
              <w:right w:val="nil"/>
            </w:tcBorders>
            <w:shd w:val="clear" w:color="auto" w:fill="D9E2F3" w:themeFill="accent1" w:themeFillTint="33"/>
            <w:vAlign w:val="center"/>
            <w:hideMark/>
          </w:tcPr>
          <w:p w14:paraId="1FCAE437" w14:textId="77777777" w:rsidR="005307B5" w:rsidRPr="002E5315" w:rsidRDefault="005307B5" w:rsidP="005307B5">
            <w:pPr>
              <w:contextualSpacing/>
              <w:jc w:val="center"/>
              <w:rPr>
                <w:rFonts w:cs="Arial"/>
                <w:i/>
                <w:sz w:val="18"/>
                <w:szCs w:val="18"/>
              </w:rPr>
            </w:pPr>
            <w:r w:rsidRPr="002E5315">
              <w:rPr>
                <w:rFonts w:cs="Arial"/>
                <w:i/>
                <w:sz w:val="18"/>
                <w:szCs w:val="18"/>
              </w:rPr>
              <w:t>Ukupno žalbi</w:t>
            </w:r>
          </w:p>
        </w:tc>
        <w:tc>
          <w:tcPr>
            <w:tcW w:w="827" w:type="dxa"/>
            <w:tcBorders>
              <w:top w:val="nil"/>
              <w:left w:val="nil"/>
              <w:bottom w:val="nil"/>
              <w:right w:val="nil"/>
            </w:tcBorders>
            <w:shd w:val="clear" w:color="auto" w:fill="D9E2F3" w:themeFill="accent1" w:themeFillTint="33"/>
            <w:vAlign w:val="center"/>
            <w:hideMark/>
          </w:tcPr>
          <w:p w14:paraId="45A1D6FD" w14:textId="77777777" w:rsidR="005307B5" w:rsidRPr="002E5315" w:rsidRDefault="005307B5" w:rsidP="005307B5">
            <w:pPr>
              <w:contextualSpacing/>
              <w:jc w:val="center"/>
              <w:rPr>
                <w:rFonts w:cs="Arial"/>
                <w:i/>
                <w:sz w:val="18"/>
                <w:szCs w:val="18"/>
              </w:rPr>
            </w:pPr>
            <w:r w:rsidRPr="002E5315">
              <w:rPr>
                <w:rFonts w:cs="Arial"/>
                <w:i/>
                <w:sz w:val="18"/>
                <w:szCs w:val="18"/>
              </w:rPr>
              <w:t>Riješeno</w:t>
            </w:r>
          </w:p>
        </w:tc>
        <w:tc>
          <w:tcPr>
            <w:tcW w:w="965" w:type="dxa"/>
            <w:tcBorders>
              <w:top w:val="nil"/>
              <w:left w:val="nil"/>
              <w:bottom w:val="nil"/>
              <w:right w:val="nil"/>
            </w:tcBorders>
            <w:shd w:val="clear" w:color="auto" w:fill="D9E2F3" w:themeFill="accent1" w:themeFillTint="33"/>
            <w:vAlign w:val="center"/>
            <w:hideMark/>
          </w:tcPr>
          <w:p w14:paraId="6CC18CE9" w14:textId="77777777" w:rsidR="005307B5" w:rsidRPr="002E5315" w:rsidRDefault="005307B5" w:rsidP="005307B5">
            <w:pPr>
              <w:contextualSpacing/>
              <w:jc w:val="center"/>
              <w:rPr>
                <w:rFonts w:cs="Arial"/>
                <w:i/>
                <w:sz w:val="18"/>
                <w:szCs w:val="18"/>
              </w:rPr>
            </w:pPr>
            <w:r w:rsidRPr="002E5315">
              <w:rPr>
                <w:rFonts w:cs="Arial"/>
                <w:i/>
                <w:sz w:val="18"/>
                <w:szCs w:val="18"/>
              </w:rPr>
              <w:t>Udio riješenih</w:t>
            </w:r>
          </w:p>
        </w:tc>
        <w:tc>
          <w:tcPr>
            <w:tcW w:w="964" w:type="dxa"/>
            <w:tcBorders>
              <w:top w:val="nil"/>
              <w:left w:val="nil"/>
              <w:bottom w:val="nil"/>
              <w:right w:val="nil"/>
            </w:tcBorders>
            <w:shd w:val="clear" w:color="auto" w:fill="D9E2F3" w:themeFill="accent1" w:themeFillTint="33"/>
            <w:vAlign w:val="center"/>
            <w:hideMark/>
          </w:tcPr>
          <w:p w14:paraId="5847C127" w14:textId="77777777" w:rsidR="005307B5" w:rsidRPr="002E5315" w:rsidRDefault="005307B5" w:rsidP="005307B5">
            <w:pPr>
              <w:contextualSpacing/>
              <w:jc w:val="center"/>
              <w:rPr>
                <w:rFonts w:cs="Arial"/>
                <w:i/>
                <w:sz w:val="18"/>
                <w:szCs w:val="18"/>
              </w:rPr>
            </w:pPr>
            <w:r w:rsidRPr="002E5315">
              <w:rPr>
                <w:rFonts w:cs="Arial"/>
                <w:i/>
                <w:sz w:val="18"/>
                <w:szCs w:val="18"/>
              </w:rPr>
              <w:t>Neriješeno</w:t>
            </w:r>
          </w:p>
        </w:tc>
        <w:tc>
          <w:tcPr>
            <w:tcW w:w="1011" w:type="dxa"/>
            <w:tcBorders>
              <w:top w:val="nil"/>
              <w:left w:val="nil"/>
              <w:bottom w:val="nil"/>
              <w:right w:val="nil"/>
            </w:tcBorders>
            <w:shd w:val="clear" w:color="auto" w:fill="D9E2F3" w:themeFill="accent1" w:themeFillTint="33"/>
            <w:vAlign w:val="center"/>
          </w:tcPr>
          <w:p w14:paraId="53C9CE68" w14:textId="77777777" w:rsidR="005307B5" w:rsidRPr="002E5315" w:rsidRDefault="005307B5" w:rsidP="005307B5">
            <w:pPr>
              <w:contextualSpacing/>
              <w:jc w:val="center"/>
              <w:rPr>
                <w:rFonts w:cs="Arial"/>
                <w:i/>
                <w:sz w:val="18"/>
                <w:szCs w:val="18"/>
              </w:rPr>
            </w:pPr>
            <w:r w:rsidRPr="002E5315">
              <w:rPr>
                <w:rFonts w:cs="Arial"/>
                <w:i/>
                <w:sz w:val="18"/>
                <w:szCs w:val="18"/>
              </w:rPr>
              <w:t>Udio neriješenih</w:t>
            </w:r>
          </w:p>
        </w:tc>
        <w:tc>
          <w:tcPr>
            <w:tcW w:w="1039" w:type="dxa"/>
            <w:tcBorders>
              <w:top w:val="nil"/>
              <w:left w:val="nil"/>
              <w:bottom w:val="nil"/>
              <w:right w:val="nil"/>
            </w:tcBorders>
            <w:shd w:val="clear" w:color="auto" w:fill="D9E2F3" w:themeFill="accent1" w:themeFillTint="33"/>
            <w:vAlign w:val="center"/>
            <w:hideMark/>
          </w:tcPr>
          <w:p w14:paraId="00005270" w14:textId="77777777" w:rsidR="005307B5" w:rsidRPr="002E5315" w:rsidRDefault="005307B5" w:rsidP="005307B5">
            <w:pPr>
              <w:contextualSpacing/>
              <w:jc w:val="center"/>
              <w:rPr>
                <w:rFonts w:cs="Arial"/>
                <w:i/>
                <w:sz w:val="18"/>
                <w:szCs w:val="18"/>
              </w:rPr>
            </w:pPr>
            <w:r w:rsidRPr="002E5315">
              <w:rPr>
                <w:rFonts w:cs="Arial"/>
                <w:i/>
                <w:sz w:val="18"/>
                <w:szCs w:val="18"/>
              </w:rPr>
              <w:t>Odbijanje ili odbacivanje zahtjeva</w:t>
            </w:r>
          </w:p>
        </w:tc>
        <w:tc>
          <w:tcPr>
            <w:tcW w:w="864" w:type="dxa"/>
            <w:tcBorders>
              <w:top w:val="nil"/>
              <w:left w:val="nil"/>
              <w:bottom w:val="nil"/>
              <w:right w:val="nil"/>
            </w:tcBorders>
            <w:shd w:val="clear" w:color="auto" w:fill="D9E2F3" w:themeFill="accent1" w:themeFillTint="33"/>
            <w:vAlign w:val="center"/>
            <w:hideMark/>
          </w:tcPr>
          <w:p w14:paraId="27674052" w14:textId="77777777" w:rsidR="005307B5" w:rsidRPr="002E5315" w:rsidRDefault="005307B5" w:rsidP="005307B5">
            <w:pPr>
              <w:contextualSpacing/>
              <w:jc w:val="center"/>
              <w:rPr>
                <w:rFonts w:cs="Arial"/>
                <w:i/>
                <w:sz w:val="18"/>
                <w:szCs w:val="18"/>
              </w:rPr>
            </w:pPr>
            <w:r w:rsidRPr="002E5315">
              <w:rPr>
                <w:rFonts w:cs="Arial"/>
                <w:i/>
                <w:sz w:val="18"/>
                <w:szCs w:val="18"/>
              </w:rPr>
              <w:t>Šutnja uprave</w:t>
            </w:r>
          </w:p>
        </w:tc>
        <w:tc>
          <w:tcPr>
            <w:tcW w:w="839" w:type="dxa"/>
            <w:tcBorders>
              <w:top w:val="nil"/>
              <w:left w:val="nil"/>
              <w:bottom w:val="nil"/>
              <w:right w:val="nil"/>
            </w:tcBorders>
            <w:shd w:val="clear" w:color="auto" w:fill="D9E2F3" w:themeFill="accent1" w:themeFillTint="33"/>
            <w:vAlign w:val="center"/>
            <w:hideMark/>
          </w:tcPr>
          <w:p w14:paraId="3F1B5505" w14:textId="77777777" w:rsidR="005307B5" w:rsidRPr="002E5315" w:rsidRDefault="005307B5" w:rsidP="005307B5">
            <w:pPr>
              <w:contextualSpacing/>
              <w:jc w:val="center"/>
              <w:rPr>
                <w:rFonts w:cs="Arial"/>
                <w:i/>
                <w:sz w:val="18"/>
                <w:szCs w:val="18"/>
              </w:rPr>
            </w:pPr>
            <w:r w:rsidRPr="002E5315">
              <w:rPr>
                <w:rFonts w:cs="Arial"/>
                <w:i/>
                <w:sz w:val="18"/>
                <w:szCs w:val="18"/>
              </w:rPr>
              <w:t>Udio šutnje uprave</w:t>
            </w:r>
          </w:p>
        </w:tc>
      </w:tr>
      <w:tr w:rsidR="005307B5" w:rsidRPr="002E5315" w14:paraId="4FFBB516" w14:textId="77777777" w:rsidTr="005307B5">
        <w:trPr>
          <w:trHeight w:val="382"/>
          <w:jc w:val="center"/>
        </w:trPr>
        <w:tc>
          <w:tcPr>
            <w:tcW w:w="1617" w:type="dxa"/>
            <w:tcBorders>
              <w:top w:val="nil"/>
              <w:left w:val="nil"/>
              <w:bottom w:val="nil"/>
              <w:right w:val="nil"/>
            </w:tcBorders>
            <w:shd w:val="clear" w:color="auto" w:fill="auto"/>
            <w:noWrap/>
            <w:vAlign w:val="center"/>
            <w:hideMark/>
          </w:tcPr>
          <w:p w14:paraId="1770E2D0" w14:textId="77777777" w:rsidR="005307B5" w:rsidRPr="002E5315" w:rsidRDefault="005307B5" w:rsidP="005307B5">
            <w:pPr>
              <w:contextualSpacing/>
              <w:rPr>
                <w:rFonts w:cs="Arial"/>
                <w:b/>
                <w:bCs/>
                <w:i/>
                <w:sz w:val="20"/>
                <w:szCs w:val="20"/>
              </w:rPr>
            </w:pPr>
            <w:r w:rsidRPr="002E5315">
              <w:rPr>
                <w:rFonts w:cs="Arial"/>
                <w:i/>
                <w:sz w:val="20"/>
                <w:szCs w:val="20"/>
              </w:rPr>
              <w:t>žalbe zaprimljene u 2019.</w:t>
            </w:r>
          </w:p>
        </w:tc>
        <w:tc>
          <w:tcPr>
            <w:tcW w:w="964" w:type="dxa"/>
            <w:tcBorders>
              <w:top w:val="nil"/>
              <w:left w:val="nil"/>
              <w:bottom w:val="nil"/>
              <w:right w:val="nil"/>
            </w:tcBorders>
            <w:shd w:val="clear" w:color="auto" w:fill="auto"/>
            <w:noWrap/>
            <w:vAlign w:val="center"/>
          </w:tcPr>
          <w:p w14:paraId="60B9FA16" w14:textId="77777777" w:rsidR="005307B5" w:rsidRPr="002E5315" w:rsidRDefault="005307B5" w:rsidP="005307B5">
            <w:pPr>
              <w:jc w:val="center"/>
              <w:rPr>
                <w:sz w:val="20"/>
                <w:szCs w:val="20"/>
              </w:rPr>
            </w:pPr>
            <w:r w:rsidRPr="002E5315">
              <w:rPr>
                <w:sz w:val="20"/>
                <w:szCs w:val="20"/>
              </w:rPr>
              <w:t>814</w:t>
            </w:r>
          </w:p>
        </w:tc>
        <w:tc>
          <w:tcPr>
            <w:tcW w:w="827" w:type="dxa"/>
            <w:tcBorders>
              <w:top w:val="nil"/>
              <w:left w:val="nil"/>
              <w:bottom w:val="nil"/>
              <w:right w:val="nil"/>
            </w:tcBorders>
            <w:shd w:val="clear" w:color="auto" w:fill="auto"/>
            <w:noWrap/>
            <w:vAlign w:val="center"/>
          </w:tcPr>
          <w:p w14:paraId="59BC047E" w14:textId="77777777" w:rsidR="005307B5" w:rsidRPr="002E5315" w:rsidRDefault="005307B5" w:rsidP="005307B5">
            <w:pPr>
              <w:jc w:val="center"/>
              <w:rPr>
                <w:sz w:val="20"/>
                <w:szCs w:val="20"/>
              </w:rPr>
            </w:pPr>
            <w:r w:rsidRPr="002E5315">
              <w:rPr>
                <w:sz w:val="20"/>
                <w:szCs w:val="20"/>
              </w:rPr>
              <w:t>618</w:t>
            </w:r>
          </w:p>
        </w:tc>
        <w:tc>
          <w:tcPr>
            <w:tcW w:w="965" w:type="dxa"/>
            <w:tcBorders>
              <w:top w:val="nil"/>
              <w:left w:val="nil"/>
              <w:bottom w:val="nil"/>
              <w:right w:val="nil"/>
            </w:tcBorders>
            <w:shd w:val="clear" w:color="auto" w:fill="auto"/>
            <w:noWrap/>
            <w:vAlign w:val="center"/>
          </w:tcPr>
          <w:p w14:paraId="1D054232" w14:textId="77777777" w:rsidR="005307B5" w:rsidRPr="002E5315" w:rsidRDefault="005307B5" w:rsidP="005307B5">
            <w:pPr>
              <w:jc w:val="center"/>
              <w:rPr>
                <w:sz w:val="20"/>
                <w:szCs w:val="20"/>
              </w:rPr>
            </w:pPr>
            <w:r w:rsidRPr="002E5315">
              <w:rPr>
                <w:sz w:val="20"/>
                <w:szCs w:val="20"/>
              </w:rPr>
              <w:t>75,92%</w:t>
            </w:r>
          </w:p>
        </w:tc>
        <w:tc>
          <w:tcPr>
            <w:tcW w:w="964" w:type="dxa"/>
            <w:tcBorders>
              <w:top w:val="nil"/>
              <w:left w:val="nil"/>
              <w:bottom w:val="nil"/>
              <w:right w:val="nil"/>
            </w:tcBorders>
            <w:shd w:val="clear" w:color="auto" w:fill="auto"/>
            <w:noWrap/>
            <w:vAlign w:val="center"/>
          </w:tcPr>
          <w:p w14:paraId="6DC94BA2" w14:textId="77777777" w:rsidR="005307B5" w:rsidRPr="002E5315" w:rsidRDefault="005307B5" w:rsidP="005307B5">
            <w:pPr>
              <w:jc w:val="center"/>
              <w:rPr>
                <w:sz w:val="20"/>
                <w:szCs w:val="20"/>
              </w:rPr>
            </w:pPr>
            <w:r w:rsidRPr="002E5315">
              <w:rPr>
                <w:sz w:val="20"/>
                <w:szCs w:val="20"/>
              </w:rPr>
              <w:t>196</w:t>
            </w:r>
          </w:p>
        </w:tc>
        <w:tc>
          <w:tcPr>
            <w:tcW w:w="1011" w:type="dxa"/>
            <w:tcBorders>
              <w:top w:val="nil"/>
              <w:left w:val="nil"/>
              <w:bottom w:val="nil"/>
              <w:right w:val="nil"/>
            </w:tcBorders>
            <w:vAlign w:val="center"/>
          </w:tcPr>
          <w:p w14:paraId="5E676D07" w14:textId="77777777" w:rsidR="005307B5" w:rsidRPr="002E5315" w:rsidRDefault="005307B5" w:rsidP="005307B5">
            <w:pPr>
              <w:jc w:val="center"/>
              <w:rPr>
                <w:sz w:val="20"/>
                <w:szCs w:val="20"/>
              </w:rPr>
            </w:pPr>
            <w:r w:rsidRPr="002E5315">
              <w:rPr>
                <w:sz w:val="20"/>
                <w:szCs w:val="20"/>
              </w:rPr>
              <w:t>24,08%</w:t>
            </w:r>
          </w:p>
        </w:tc>
        <w:tc>
          <w:tcPr>
            <w:tcW w:w="1039" w:type="dxa"/>
            <w:tcBorders>
              <w:top w:val="nil"/>
              <w:left w:val="nil"/>
              <w:bottom w:val="nil"/>
              <w:right w:val="nil"/>
            </w:tcBorders>
            <w:shd w:val="clear" w:color="auto" w:fill="auto"/>
            <w:noWrap/>
            <w:vAlign w:val="center"/>
          </w:tcPr>
          <w:p w14:paraId="40CE8407" w14:textId="77777777" w:rsidR="005307B5" w:rsidRPr="002E5315" w:rsidRDefault="005307B5" w:rsidP="005307B5">
            <w:pPr>
              <w:jc w:val="center"/>
              <w:rPr>
                <w:sz w:val="20"/>
                <w:szCs w:val="20"/>
              </w:rPr>
            </w:pPr>
            <w:r w:rsidRPr="002E5315">
              <w:rPr>
                <w:sz w:val="20"/>
                <w:szCs w:val="20"/>
              </w:rPr>
              <w:t>364</w:t>
            </w:r>
          </w:p>
        </w:tc>
        <w:tc>
          <w:tcPr>
            <w:tcW w:w="864" w:type="dxa"/>
            <w:tcBorders>
              <w:top w:val="nil"/>
              <w:left w:val="nil"/>
              <w:bottom w:val="nil"/>
              <w:right w:val="nil"/>
            </w:tcBorders>
            <w:shd w:val="clear" w:color="auto" w:fill="auto"/>
            <w:noWrap/>
            <w:vAlign w:val="center"/>
          </w:tcPr>
          <w:p w14:paraId="4DABDC41" w14:textId="77777777" w:rsidR="005307B5" w:rsidRPr="002E5315" w:rsidRDefault="005307B5" w:rsidP="005307B5">
            <w:pPr>
              <w:jc w:val="center"/>
              <w:rPr>
                <w:sz w:val="20"/>
                <w:szCs w:val="20"/>
              </w:rPr>
            </w:pPr>
            <w:r w:rsidRPr="002E5315">
              <w:rPr>
                <w:sz w:val="20"/>
                <w:szCs w:val="20"/>
              </w:rPr>
              <w:t>450</w:t>
            </w:r>
          </w:p>
        </w:tc>
        <w:tc>
          <w:tcPr>
            <w:tcW w:w="839" w:type="dxa"/>
            <w:tcBorders>
              <w:top w:val="nil"/>
              <w:left w:val="nil"/>
              <w:bottom w:val="nil"/>
              <w:right w:val="nil"/>
            </w:tcBorders>
            <w:shd w:val="clear" w:color="auto" w:fill="auto"/>
            <w:noWrap/>
            <w:vAlign w:val="center"/>
          </w:tcPr>
          <w:p w14:paraId="552D900A" w14:textId="77777777" w:rsidR="005307B5" w:rsidRPr="002E5315" w:rsidRDefault="005307B5" w:rsidP="005307B5">
            <w:pPr>
              <w:jc w:val="center"/>
              <w:rPr>
                <w:sz w:val="20"/>
                <w:szCs w:val="20"/>
              </w:rPr>
            </w:pPr>
            <w:r w:rsidRPr="002E5315">
              <w:rPr>
                <w:sz w:val="20"/>
                <w:szCs w:val="20"/>
              </w:rPr>
              <w:t>55,28%</w:t>
            </w:r>
          </w:p>
        </w:tc>
      </w:tr>
      <w:tr w:rsidR="005307B5" w:rsidRPr="002E5315" w14:paraId="2B9AF1F0" w14:textId="77777777" w:rsidTr="00756407">
        <w:trPr>
          <w:trHeight w:val="634"/>
          <w:jc w:val="center"/>
        </w:trPr>
        <w:tc>
          <w:tcPr>
            <w:tcW w:w="1617" w:type="dxa"/>
            <w:tcBorders>
              <w:top w:val="nil"/>
              <w:left w:val="nil"/>
              <w:bottom w:val="single" w:sz="8" w:space="0" w:color="4F81BD"/>
              <w:right w:val="nil"/>
            </w:tcBorders>
            <w:shd w:val="clear" w:color="auto" w:fill="D9E2F3" w:themeFill="accent1" w:themeFillTint="33"/>
            <w:noWrap/>
            <w:vAlign w:val="center"/>
            <w:hideMark/>
          </w:tcPr>
          <w:p w14:paraId="065EE496" w14:textId="77777777" w:rsidR="005307B5" w:rsidRPr="002E5315" w:rsidRDefault="005307B5" w:rsidP="00756407">
            <w:pPr>
              <w:contextualSpacing/>
              <w:jc w:val="left"/>
              <w:rPr>
                <w:rFonts w:cs="Arial"/>
                <w:b/>
                <w:bCs/>
                <w:i/>
                <w:sz w:val="20"/>
                <w:szCs w:val="20"/>
              </w:rPr>
            </w:pPr>
            <w:r w:rsidRPr="002E5315">
              <w:rPr>
                <w:rFonts w:cs="Arial"/>
                <w:i/>
                <w:sz w:val="20"/>
                <w:szCs w:val="20"/>
              </w:rPr>
              <w:t>ukupno žalbenih postupaka u tijeku (uklj. prenesene)</w:t>
            </w:r>
          </w:p>
        </w:tc>
        <w:tc>
          <w:tcPr>
            <w:tcW w:w="964" w:type="dxa"/>
            <w:tcBorders>
              <w:top w:val="nil"/>
              <w:left w:val="nil"/>
              <w:bottom w:val="single" w:sz="8" w:space="0" w:color="4F81BD"/>
              <w:right w:val="nil"/>
            </w:tcBorders>
            <w:shd w:val="clear" w:color="auto" w:fill="D9E2F3" w:themeFill="accent1" w:themeFillTint="33"/>
            <w:noWrap/>
            <w:vAlign w:val="center"/>
          </w:tcPr>
          <w:p w14:paraId="01740EEF" w14:textId="77777777" w:rsidR="005307B5" w:rsidRPr="002E5315" w:rsidRDefault="005307B5" w:rsidP="005307B5">
            <w:pPr>
              <w:jc w:val="center"/>
              <w:rPr>
                <w:sz w:val="20"/>
                <w:szCs w:val="20"/>
              </w:rPr>
            </w:pPr>
            <w:r w:rsidRPr="002E5315">
              <w:rPr>
                <w:sz w:val="20"/>
                <w:szCs w:val="20"/>
              </w:rPr>
              <w:t>1121</w:t>
            </w:r>
          </w:p>
        </w:tc>
        <w:tc>
          <w:tcPr>
            <w:tcW w:w="827" w:type="dxa"/>
            <w:tcBorders>
              <w:top w:val="nil"/>
              <w:left w:val="nil"/>
              <w:bottom w:val="single" w:sz="8" w:space="0" w:color="4F81BD"/>
              <w:right w:val="nil"/>
            </w:tcBorders>
            <w:shd w:val="clear" w:color="auto" w:fill="D9E2F3" w:themeFill="accent1" w:themeFillTint="33"/>
            <w:noWrap/>
            <w:vAlign w:val="center"/>
          </w:tcPr>
          <w:p w14:paraId="5C6DA264" w14:textId="77777777" w:rsidR="005307B5" w:rsidRPr="002E5315" w:rsidRDefault="005307B5" w:rsidP="005307B5">
            <w:pPr>
              <w:jc w:val="center"/>
              <w:rPr>
                <w:sz w:val="20"/>
                <w:szCs w:val="20"/>
              </w:rPr>
            </w:pPr>
            <w:r w:rsidRPr="002E5315">
              <w:rPr>
                <w:sz w:val="20"/>
                <w:szCs w:val="20"/>
              </w:rPr>
              <w:t>889</w:t>
            </w:r>
          </w:p>
        </w:tc>
        <w:tc>
          <w:tcPr>
            <w:tcW w:w="965" w:type="dxa"/>
            <w:tcBorders>
              <w:top w:val="nil"/>
              <w:left w:val="nil"/>
              <w:bottom w:val="single" w:sz="8" w:space="0" w:color="4F81BD"/>
              <w:right w:val="nil"/>
            </w:tcBorders>
            <w:shd w:val="clear" w:color="auto" w:fill="D9E2F3" w:themeFill="accent1" w:themeFillTint="33"/>
            <w:noWrap/>
            <w:vAlign w:val="center"/>
          </w:tcPr>
          <w:p w14:paraId="74FBBFAD" w14:textId="77777777" w:rsidR="005307B5" w:rsidRPr="002E5315" w:rsidRDefault="005307B5" w:rsidP="005307B5">
            <w:pPr>
              <w:jc w:val="center"/>
              <w:rPr>
                <w:sz w:val="20"/>
                <w:szCs w:val="20"/>
              </w:rPr>
            </w:pPr>
            <w:r w:rsidRPr="002E5315">
              <w:rPr>
                <w:sz w:val="20"/>
                <w:szCs w:val="20"/>
              </w:rPr>
              <w:t>79,30%</w:t>
            </w:r>
          </w:p>
        </w:tc>
        <w:tc>
          <w:tcPr>
            <w:tcW w:w="964" w:type="dxa"/>
            <w:tcBorders>
              <w:top w:val="nil"/>
              <w:left w:val="nil"/>
              <w:bottom w:val="single" w:sz="8" w:space="0" w:color="4F81BD"/>
              <w:right w:val="nil"/>
            </w:tcBorders>
            <w:shd w:val="clear" w:color="auto" w:fill="D9E2F3" w:themeFill="accent1" w:themeFillTint="33"/>
            <w:noWrap/>
            <w:vAlign w:val="center"/>
          </w:tcPr>
          <w:p w14:paraId="78F543FC" w14:textId="77777777" w:rsidR="005307B5" w:rsidRPr="002E5315" w:rsidRDefault="005307B5" w:rsidP="005307B5">
            <w:pPr>
              <w:jc w:val="center"/>
              <w:rPr>
                <w:sz w:val="20"/>
                <w:szCs w:val="20"/>
              </w:rPr>
            </w:pPr>
            <w:r w:rsidRPr="002E5315">
              <w:rPr>
                <w:sz w:val="20"/>
                <w:szCs w:val="20"/>
              </w:rPr>
              <w:t>232</w:t>
            </w:r>
          </w:p>
        </w:tc>
        <w:tc>
          <w:tcPr>
            <w:tcW w:w="1011" w:type="dxa"/>
            <w:tcBorders>
              <w:top w:val="nil"/>
              <w:left w:val="nil"/>
              <w:bottom w:val="single" w:sz="8" w:space="0" w:color="4F81BD"/>
              <w:right w:val="nil"/>
            </w:tcBorders>
            <w:shd w:val="clear" w:color="auto" w:fill="D9E2F3" w:themeFill="accent1" w:themeFillTint="33"/>
            <w:vAlign w:val="center"/>
          </w:tcPr>
          <w:p w14:paraId="743E095D" w14:textId="77777777" w:rsidR="005307B5" w:rsidRPr="002E5315" w:rsidRDefault="005307B5" w:rsidP="005307B5">
            <w:pPr>
              <w:jc w:val="center"/>
              <w:rPr>
                <w:sz w:val="20"/>
                <w:szCs w:val="20"/>
              </w:rPr>
            </w:pPr>
            <w:r w:rsidRPr="002E5315">
              <w:rPr>
                <w:sz w:val="20"/>
                <w:szCs w:val="20"/>
              </w:rPr>
              <w:t>20,70%</w:t>
            </w:r>
          </w:p>
        </w:tc>
        <w:tc>
          <w:tcPr>
            <w:tcW w:w="1039" w:type="dxa"/>
            <w:tcBorders>
              <w:top w:val="nil"/>
              <w:left w:val="nil"/>
              <w:bottom w:val="single" w:sz="8" w:space="0" w:color="4F81BD"/>
              <w:right w:val="nil"/>
            </w:tcBorders>
            <w:shd w:val="clear" w:color="auto" w:fill="D9E2F3" w:themeFill="accent1" w:themeFillTint="33"/>
            <w:noWrap/>
            <w:vAlign w:val="center"/>
          </w:tcPr>
          <w:p w14:paraId="0AFA2781" w14:textId="77777777" w:rsidR="005307B5" w:rsidRPr="002E5315" w:rsidRDefault="005307B5" w:rsidP="005307B5">
            <w:pPr>
              <w:jc w:val="center"/>
              <w:rPr>
                <w:sz w:val="20"/>
                <w:szCs w:val="20"/>
              </w:rPr>
            </w:pPr>
            <w:r w:rsidRPr="002E5315">
              <w:rPr>
                <w:sz w:val="20"/>
                <w:szCs w:val="20"/>
              </w:rPr>
              <w:t>562</w:t>
            </w:r>
          </w:p>
        </w:tc>
        <w:tc>
          <w:tcPr>
            <w:tcW w:w="864" w:type="dxa"/>
            <w:tcBorders>
              <w:top w:val="nil"/>
              <w:left w:val="nil"/>
              <w:bottom w:val="single" w:sz="8" w:space="0" w:color="4F81BD"/>
              <w:right w:val="nil"/>
            </w:tcBorders>
            <w:shd w:val="clear" w:color="auto" w:fill="D9E2F3" w:themeFill="accent1" w:themeFillTint="33"/>
            <w:noWrap/>
            <w:vAlign w:val="center"/>
          </w:tcPr>
          <w:p w14:paraId="39CA36F0" w14:textId="77777777" w:rsidR="005307B5" w:rsidRPr="002E5315" w:rsidRDefault="005307B5" w:rsidP="005307B5">
            <w:pPr>
              <w:jc w:val="center"/>
              <w:rPr>
                <w:sz w:val="20"/>
                <w:szCs w:val="20"/>
              </w:rPr>
            </w:pPr>
            <w:r w:rsidRPr="002E5315">
              <w:rPr>
                <w:sz w:val="20"/>
                <w:szCs w:val="20"/>
              </w:rPr>
              <w:t>559</w:t>
            </w:r>
          </w:p>
        </w:tc>
        <w:tc>
          <w:tcPr>
            <w:tcW w:w="839" w:type="dxa"/>
            <w:tcBorders>
              <w:top w:val="nil"/>
              <w:left w:val="nil"/>
              <w:bottom w:val="single" w:sz="8" w:space="0" w:color="4F81BD"/>
              <w:right w:val="nil"/>
            </w:tcBorders>
            <w:shd w:val="clear" w:color="auto" w:fill="D9E2F3" w:themeFill="accent1" w:themeFillTint="33"/>
            <w:noWrap/>
            <w:vAlign w:val="center"/>
          </w:tcPr>
          <w:p w14:paraId="1DAA5C12" w14:textId="77777777" w:rsidR="005307B5" w:rsidRPr="002E5315" w:rsidRDefault="005307B5" w:rsidP="005307B5">
            <w:pPr>
              <w:jc w:val="center"/>
              <w:rPr>
                <w:sz w:val="20"/>
                <w:szCs w:val="20"/>
              </w:rPr>
            </w:pPr>
            <w:r w:rsidRPr="002E5315">
              <w:rPr>
                <w:sz w:val="20"/>
                <w:szCs w:val="20"/>
              </w:rPr>
              <w:t>62,88%</w:t>
            </w:r>
          </w:p>
        </w:tc>
      </w:tr>
    </w:tbl>
    <w:p w14:paraId="72403E08" w14:textId="5B5EE226" w:rsidR="005307B5" w:rsidRPr="002E5315" w:rsidRDefault="005307B5" w:rsidP="005307B5">
      <w:pPr>
        <w:shd w:val="clear" w:color="auto" w:fill="FFFFFF" w:themeFill="background1"/>
        <w:tabs>
          <w:tab w:val="left" w:pos="-1843"/>
        </w:tabs>
        <w:spacing w:before="240"/>
        <w:rPr>
          <w:rFonts w:cstheme="minorHAnsi"/>
          <w:szCs w:val="23"/>
        </w:rPr>
      </w:pPr>
      <w:r w:rsidRPr="002E5315">
        <w:rPr>
          <w:rFonts w:cstheme="minorHAnsi"/>
          <w:szCs w:val="23"/>
        </w:rPr>
        <w:t xml:space="preserve">Ako se promatra samo broj žalbi zaprimljenih u 2019. (814), u odnosu na ukupan broj riješenih </w:t>
      </w:r>
      <w:r w:rsidR="00062EB1" w:rsidRPr="002E5315">
        <w:rPr>
          <w:rFonts w:cstheme="minorHAnsi"/>
          <w:szCs w:val="23"/>
        </w:rPr>
        <w:t xml:space="preserve">žalbi (889), </w:t>
      </w:r>
      <w:r w:rsidR="00062EB1" w:rsidRPr="002E5315">
        <w:rPr>
          <w:rFonts w:cstheme="minorHAnsi"/>
          <w:bCs/>
          <w:szCs w:val="23"/>
        </w:rPr>
        <w:t>vidljivo je da je riješeno nešto više žalbi od priljeva</w:t>
      </w:r>
      <w:r w:rsidR="00062EB1" w:rsidRPr="002E5315">
        <w:rPr>
          <w:rFonts w:cstheme="minorHAnsi"/>
          <w:szCs w:val="23"/>
        </w:rPr>
        <w:t>, a što doprinosi ukupnom broju smanjivanja neriješenih žalbi</w:t>
      </w:r>
      <w:r w:rsidRPr="002E5315">
        <w:rPr>
          <w:rFonts w:cstheme="minorHAnsi"/>
          <w:szCs w:val="23"/>
        </w:rPr>
        <w:t>.</w:t>
      </w:r>
    </w:p>
    <w:p w14:paraId="25989B70" w14:textId="5D9B2CC7" w:rsidR="005307B5" w:rsidRPr="002E5315" w:rsidRDefault="005307B5" w:rsidP="005307B5">
      <w:pPr>
        <w:keepNext/>
        <w:spacing w:before="240"/>
        <w:rPr>
          <w:rFonts w:cs="Arial"/>
          <w:sz w:val="20"/>
          <w:szCs w:val="20"/>
        </w:rPr>
      </w:pPr>
      <w:r w:rsidRPr="002E5315">
        <w:rPr>
          <w:rFonts w:cs="Arial"/>
          <w:sz w:val="20"/>
          <w:szCs w:val="20"/>
        </w:rPr>
        <w:t xml:space="preserve">Tablica </w:t>
      </w:r>
      <w:r w:rsidR="00892BF9" w:rsidRPr="002E5315">
        <w:rPr>
          <w:rFonts w:cs="Arial"/>
          <w:sz w:val="20"/>
          <w:szCs w:val="20"/>
        </w:rPr>
        <w:t>3</w:t>
      </w:r>
      <w:r w:rsidRPr="002E5315">
        <w:rPr>
          <w:rFonts w:cs="Arial"/>
          <w:sz w:val="20"/>
          <w:szCs w:val="20"/>
        </w:rPr>
        <w:t>.</w:t>
      </w:r>
      <w:r w:rsidR="00892BF9" w:rsidRPr="002E5315">
        <w:rPr>
          <w:rFonts w:cs="Arial"/>
          <w:sz w:val="20"/>
          <w:szCs w:val="20"/>
        </w:rPr>
        <w:t>6</w:t>
      </w:r>
      <w:r w:rsidRPr="002E5315">
        <w:rPr>
          <w:rFonts w:cs="Arial"/>
          <w:sz w:val="20"/>
          <w:szCs w:val="20"/>
        </w:rPr>
        <w:t>. Broj izjavljenih žalbi po godinama 2013.-201</w:t>
      </w:r>
      <w:r w:rsidR="00892BF9" w:rsidRPr="002E5315">
        <w:rPr>
          <w:rFonts w:cs="Arial"/>
          <w:sz w:val="20"/>
          <w:szCs w:val="20"/>
        </w:rPr>
        <w:t>9</w:t>
      </w:r>
      <w:r w:rsidRPr="002E5315">
        <w:rPr>
          <w:rFonts w:cs="Arial"/>
          <w:sz w:val="20"/>
          <w:szCs w:val="20"/>
        </w:rPr>
        <w:t>. po načinu rješavanja</w:t>
      </w:r>
    </w:p>
    <w:tbl>
      <w:tblPr>
        <w:tblStyle w:val="ListTable2-Accent11"/>
        <w:tblW w:w="9180" w:type="dxa"/>
        <w:tblLayout w:type="fixed"/>
        <w:tblLook w:val="04A0" w:firstRow="1" w:lastRow="0" w:firstColumn="1" w:lastColumn="0" w:noHBand="0" w:noVBand="1"/>
      </w:tblPr>
      <w:tblGrid>
        <w:gridCol w:w="1843"/>
        <w:gridCol w:w="1435"/>
        <w:gridCol w:w="1436"/>
        <w:gridCol w:w="1435"/>
        <w:gridCol w:w="1436"/>
        <w:gridCol w:w="1595"/>
      </w:tblGrid>
      <w:tr w:rsidR="005307B5" w:rsidRPr="002E5315" w14:paraId="495F0404" w14:textId="77777777" w:rsidTr="00062EB1">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843" w:type="dxa"/>
            <w:hideMark/>
          </w:tcPr>
          <w:p w14:paraId="6A8FEC21" w14:textId="77777777" w:rsidR="005307B5" w:rsidRPr="002E5315" w:rsidRDefault="005307B5" w:rsidP="005307B5">
            <w:pPr>
              <w:jc w:val="center"/>
              <w:rPr>
                <w:rFonts w:cs="Arial"/>
                <w:b w:val="0"/>
                <w:bCs w:val="0"/>
                <w:i/>
                <w:sz w:val="20"/>
                <w:szCs w:val="20"/>
              </w:rPr>
            </w:pPr>
            <w:r w:rsidRPr="002E5315">
              <w:rPr>
                <w:rFonts w:cs="Arial"/>
                <w:b w:val="0"/>
                <w:i/>
                <w:sz w:val="20"/>
                <w:szCs w:val="20"/>
              </w:rPr>
              <w:t>Godina</w:t>
            </w:r>
          </w:p>
        </w:tc>
        <w:tc>
          <w:tcPr>
            <w:tcW w:w="1435" w:type="dxa"/>
            <w:hideMark/>
          </w:tcPr>
          <w:p w14:paraId="2E62A307"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20"/>
                <w:szCs w:val="20"/>
              </w:rPr>
            </w:pPr>
            <w:r w:rsidRPr="002E5315">
              <w:rPr>
                <w:rFonts w:cs="Arial"/>
                <w:b w:val="0"/>
                <w:i/>
                <w:sz w:val="20"/>
                <w:szCs w:val="20"/>
              </w:rPr>
              <w:t>Zaprimljene žalbe</w:t>
            </w:r>
          </w:p>
        </w:tc>
        <w:tc>
          <w:tcPr>
            <w:tcW w:w="1436" w:type="dxa"/>
            <w:hideMark/>
          </w:tcPr>
          <w:p w14:paraId="191512BF"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20"/>
                <w:szCs w:val="20"/>
              </w:rPr>
            </w:pPr>
            <w:r w:rsidRPr="002E5315">
              <w:rPr>
                <w:rFonts w:cs="Arial"/>
                <w:b w:val="0"/>
                <w:i/>
                <w:sz w:val="20"/>
                <w:szCs w:val="20"/>
              </w:rPr>
              <w:t>Prenesene</w:t>
            </w:r>
          </w:p>
          <w:p w14:paraId="587CDCA3"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20"/>
                <w:szCs w:val="20"/>
              </w:rPr>
            </w:pPr>
            <w:r w:rsidRPr="002E5315">
              <w:rPr>
                <w:rFonts w:cs="Arial"/>
                <w:b w:val="0"/>
                <w:i/>
                <w:sz w:val="20"/>
                <w:szCs w:val="20"/>
              </w:rPr>
              <w:t>žalbe</w:t>
            </w:r>
          </w:p>
        </w:tc>
        <w:tc>
          <w:tcPr>
            <w:tcW w:w="1435" w:type="dxa"/>
            <w:hideMark/>
          </w:tcPr>
          <w:p w14:paraId="49293C58"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20"/>
                <w:szCs w:val="20"/>
              </w:rPr>
            </w:pPr>
            <w:r w:rsidRPr="002E5315">
              <w:rPr>
                <w:rFonts w:cs="Arial"/>
                <w:b w:val="0"/>
                <w:i/>
                <w:sz w:val="20"/>
                <w:szCs w:val="20"/>
              </w:rPr>
              <w:t>Ukupno u rješavanju</w:t>
            </w:r>
          </w:p>
        </w:tc>
        <w:tc>
          <w:tcPr>
            <w:tcW w:w="1436" w:type="dxa"/>
            <w:hideMark/>
          </w:tcPr>
          <w:p w14:paraId="4DFCE1B9"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20"/>
                <w:szCs w:val="20"/>
              </w:rPr>
            </w:pPr>
            <w:r w:rsidRPr="002E5315">
              <w:rPr>
                <w:rFonts w:cs="Arial"/>
                <w:b w:val="0"/>
                <w:i/>
                <w:sz w:val="20"/>
                <w:szCs w:val="20"/>
              </w:rPr>
              <w:t>Neriješene žalbe</w:t>
            </w:r>
          </w:p>
        </w:tc>
        <w:tc>
          <w:tcPr>
            <w:tcW w:w="1595" w:type="dxa"/>
            <w:hideMark/>
          </w:tcPr>
          <w:p w14:paraId="796C434E"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20"/>
                <w:szCs w:val="20"/>
              </w:rPr>
            </w:pPr>
            <w:r w:rsidRPr="002E5315">
              <w:rPr>
                <w:rFonts w:cs="Arial"/>
                <w:b w:val="0"/>
                <w:bCs w:val="0"/>
                <w:i/>
                <w:sz w:val="20"/>
                <w:szCs w:val="20"/>
              </w:rPr>
              <w:t>% neriješenih žalbi</w:t>
            </w:r>
          </w:p>
        </w:tc>
      </w:tr>
      <w:tr w:rsidR="005307B5" w:rsidRPr="002E5315" w14:paraId="492EA27D" w14:textId="77777777" w:rsidTr="00062EB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43" w:type="dxa"/>
            <w:hideMark/>
          </w:tcPr>
          <w:p w14:paraId="5D29F0E2" w14:textId="77777777" w:rsidR="005307B5" w:rsidRPr="002E5315" w:rsidRDefault="005307B5" w:rsidP="005307B5">
            <w:pPr>
              <w:jc w:val="center"/>
              <w:rPr>
                <w:rFonts w:cs="Arial"/>
                <w:b w:val="0"/>
                <w:bCs w:val="0"/>
                <w:sz w:val="20"/>
                <w:szCs w:val="20"/>
              </w:rPr>
            </w:pPr>
            <w:r w:rsidRPr="002E5315">
              <w:rPr>
                <w:rFonts w:cs="Arial"/>
                <w:sz w:val="20"/>
                <w:szCs w:val="20"/>
              </w:rPr>
              <w:t>2013.</w:t>
            </w:r>
          </w:p>
        </w:tc>
        <w:tc>
          <w:tcPr>
            <w:tcW w:w="1435" w:type="dxa"/>
            <w:hideMark/>
          </w:tcPr>
          <w:p w14:paraId="2D0AE95E"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515</w:t>
            </w:r>
          </w:p>
        </w:tc>
        <w:tc>
          <w:tcPr>
            <w:tcW w:w="1436" w:type="dxa"/>
            <w:hideMark/>
          </w:tcPr>
          <w:p w14:paraId="16A777C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129</w:t>
            </w:r>
          </w:p>
        </w:tc>
        <w:tc>
          <w:tcPr>
            <w:tcW w:w="1435" w:type="dxa"/>
            <w:hideMark/>
          </w:tcPr>
          <w:p w14:paraId="31AA720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644</w:t>
            </w:r>
          </w:p>
        </w:tc>
        <w:tc>
          <w:tcPr>
            <w:tcW w:w="1436" w:type="dxa"/>
            <w:hideMark/>
          </w:tcPr>
          <w:p w14:paraId="72E4FF28"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149</w:t>
            </w:r>
          </w:p>
        </w:tc>
        <w:tc>
          <w:tcPr>
            <w:tcW w:w="1595" w:type="dxa"/>
            <w:hideMark/>
          </w:tcPr>
          <w:p w14:paraId="561D9D76"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23,14</w:t>
            </w:r>
          </w:p>
        </w:tc>
      </w:tr>
      <w:tr w:rsidR="005307B5" w:rsidRPr="002E5315" w14:paraId="3EF60AC5" w14:textId="77777777" w:rsidTr="00062EB1">
        <w:trPr>
          <w:trHeight w:val="295"/>
        </w:trPr>
        <w:tc>
          <w:tcPr>
            <w:cnfStyle w:val="001000000000" w:firstRow="0" w:lastRow="0" w:firstColumn="1" w:lastColumn="0" w:oddVBand="0" w:evenVBand="0" w:oddHBand="0" w:evenHBand="0" w:firstRowFirstColumn="0" w:firstRowLastColumn="0" w:lastRowFirstColumn="0" w:lastRowLastColumn="0"/>
            <w:tcW w:w="1843" w:type="dxa"/>
            <w:hideMark/>
          </w:tcPr>
          <w:p w14:paraId="1D1C8176" w14:textId="77777777" w:rsidR="005307B5" w:rsidRPr="002E5315" w:rsidRDefault="005307B5" w:rsidP="005307B5">
            <w:pPr>
              <w:jc w:val="center"/>
              <w:rPr>
                <w:rFonts w:cs="Arial"/>
                <w:b w:val="0"/>
                <w:bCs w:val="0"/>
                <w:sz w:val="20"/>
                <w:szCs w:val="20"/>
              </w:rPr>
            </w:pPr>
            <w:r w:rsidRPr="002E5315">
              <w:rPr>
                <w:rFonts w:cs="Arial"/>
                <w:sz w:val="20"/>
                <w:szCs w:val="20"/>
              </w:rPr>
              <w:t>2014.</w:t>
            </w:r>
          </w:p>
        </w:tc>
        <w:tc>
          <w:tcPr>
            <w:tcW w:w="1435" w:type="dxa"/>
            <w:hideMark/>
          </w:tcPr>
          <w:p w14:paraId="699F3C7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658</w:t>
            </w:r>
          </w:p>
        </w:tc>
        <w:tc>
          <w:tcPr>
            <w:tcW w:w="1436" w:type="dxa"/>
            <w:hideMark/>
          </w:tcPr>
          <w:p w14:paraId="1CE0A98F"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149</w:t>
            </w:r>
          </w:p>
        </w:tc>
        <w:tc>
          <w:tcPr>
            <w:tcW w:w="1435" w:type="dxa"/>
            <w:hideMark/>
          </w:tcPr>
          <w:p w14:paraId="71D5891F"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807</w:t>
            </w:r>
          </w:p>
        </w:tc>
        <w:tc>
          <w:tcPr>
            <w:tcW w:w="1436" w:type="dxa"/>
            <w:hideMark/>
          </w:tcPr>
          <w:p w14:paraId="27FA509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283</w:t>
            </w:r>
          </w:p>
        </w:tc>
        <w:tc>
          <w:tcPr>
            <w:tcW w:w="1595" w:type="dxa"/>
            <w:hideMark/>
          </w:tcPr>
          <w:p w14:paraId="48F375AB"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35,07</w:t>
            </w:r>
          </w:p>
        </w:tc>
      </w:tr>
      <w:tr w:rsidR="005307B5" w:rsidRPr="002E5315" w14:paraId="03BC3945" w14:textId="77777777" w:rsidTr="00062EB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43" w:type="dxa"/>
            <w:hideMark/>
          </w:tcPr>
          <w:p w14:paraId="000805C1" w14:textId="77777777" w:rsidR="005307B5" w:rsidRPr="002E5315" w:rsidRDefault="005307B5" w:rsidP="005307B5">
            <w:pPr>
              <w:jc w:val="center"/>
              <w:rPr>
                <w:rFonts w:cs="Arial"/>
                <w:b w:val="0"/>
                <w:bCs w:val="0"/>
                <w:sz w:val="20"/>
                <w:szCs w:val="20"/>
              </w:rPr>
            </w:pPr>
            <w:r w:rsidRPr="002E5315">
              <w:rPr>
                <w:rFonts w:cs="Arial"/>
                <w:sz w:val="20"/>
                <w:szCs w:val="20"/>
              </w:rPr>
              <w:t>2015.</w:t>
            </w:r>
          </w:p>
        </w:tc>
        <w:tc>
          <w:tcPr>
            <w:tcW w:w="1435" w:type="dxa"/>
            <w:hideMark/>
          </w:tcPr>
          <w:p w14:paraId="4ED17CF4"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624</w:t>
            </w:r>
          </w:p>
        </w:tc>
        <w:tc>
          <w:tcPr>
            <w:tcW w:w="1436" w:type="dxa"/>
            <w:hideMark/>
          </w:tcPr>
          <w:p w14:paraId="55B36D30"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282</w:t>
            </w:r>
          </w:p>
        </w:tc>
        <w:tc>
          <w:tcPr>
            <w:tcW w:w="1435" w:type="dxa"/>
            <w:hideMark/>
          </w:tcPr>
          <w:p w14:paraId="5F70BC0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906</w:t>
            </w:r>
          </w:p>
        </w:tc>
        <w:tc>
          <w:tcPr>
            <w:tcW w:w="1436" w:type="dxa"/>
            <w:hideMark/>
          </w:tcPr>
          <w:p w14:paraId="02EA407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380</w:t>
            </w:r>
          </w:p>
        </w:tc>
        <w:tc>
          <w:tcPr>
            <w:tcW w:w="1595" w:type="dxa"/>
            <w:hideMark/>
          </w:tcPr>
          <w:p w14:paraId="6FB812F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41,94</w:t>
            </w:r>
          </w:p>
        </w:tc>
      </w:tr>
      <w:tr w:rsidR="005307B5" w:rsidRPr="002E5315" w14:paraId="5D65B752" w14:textId="77777777" w:rsidTr="00062EB1">
        <w:trPr>
          <w:trHeight w:val="295"/>
        </w:trPr>
        <w:tc>
          <w:tcPr>
            <w:cnfStyle w:val="001000000000" w:firstRow="0" w:lastRow="0" w:firstColumn="1" w:lastColumn="0" w:oddVBand="0" w:evenVBand="0" w:oddHBand="0" w:evenHBand="0" w:firstRowFirstColumn="0" w:firstRowLastColumn="0" w:lastRowFirstColumn="0" w:lastRowLastColumn="0"/>
            <w:tcW w:w="1843" w:type="dxa"/>
            <w:hideMark/>
          </w:tcPr>
          <w:p w14:paraId="66EDC4A3" w14:textId="77777777" w:rsidR="005307B5" w:rsidRPr="002E5315" w:rsidRDefault="005307B5" w:rsidP="005307B5">
            <w:pPr>
              <w:jc w:val="center"/>
              <w:rPr>
                <w:rFonts w:cs="Arial"/>
                <w:b w:val="0"/>
                <w:bCs w:val="0"/>
                <w:sz w:val="20"/>
                <w:szCs w:val="20"/>
              </w:rPr>
            </w:pPr>
            <w:r w:rsidRPr="002E5315">
              <w:rPr>
                <w:rFonts w:cs="Arial"/>
                <w:sz w:val="20"/>
                <w:szCs w:val="20"/>
              </w:rPr>
              <w:t>2016.</w:t>
            </w:r>
          </w:p>
        </w:tc>
        <w:tc>
          <w:tcPr>
            <w:tcW w:w="1435" w:type="dxa"/>
            <w:hideMark/>
          </w:tcPr>
          <w:p w14:paraId="4A9D8060"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635</w:t>
            </w:r>
          </w:p>
        </w:tc>
        <w:tc>
          <w:tcPr>
            <w:tcW w:w="1436" w:type="dxa"/>
            <w:hideMark/>
          </w:tcPr>
          <w:p w14:paraId="1752B094"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380</w:t>
            </w:r>
          </w:p>
        </w:tc>
        <w:tc>
          <w:tcPr>
            <w:tcW w:w="1435" w:type="dxa"/>
            <w:hideMark/>
          </w:tcPr>
          <w:p w14:paraId="5A4CDF1A"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1.015</w:t>
            </w:r>
          </w:p>
        </w:tc>
        <w:tc>
          <w:tcPr>
            <w:tcW w:w="1436" w:type="dxa"/>
            <w:hideMark/>
          </w:tcPr>
          <w:p w14:paraId="5217D145"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341</w:t>
            </w:r>
          </w:p>
        </w:tc>
        <w:tc>
          <w:tcPr>
            <w:tcW w:w="1595" w:type="dxa"/>
            <w:hideMark/>
          </w:tcPr>
          <w:p w14:paraId="76C42253"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33,60</w:t>
            </w:r>
          </w:p>
        </w:tc>
      </w:tr>
      <w:tr w:rsidR="005307B5" w:rsidRPr="002E5315" w14:paraId="2EC3098F" w14:textId="77777777" w:rsidTr="00062EB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43" w:type="dxa"/>
          </w:tcPr>
          <w:p w14:paraId="2236B7A8" w14:textId="77777777" w:rsidR="005307B5" w:rsidRPr="002E5315" w:rsidRDefault="005307B5" w:rsidP="005307B5">
            <w:pPr>
              <w:jc w:val="center"/>
              <w:rPr>
                <w:rFonts w:cs="Arial"/>
                <w:sz w:val="20"/>
                <w:szCs w:val="20"/>
              </w:rPr>
            </w:pPr>
            <w:r w:rsidRPr="002E5315">
              <w:rPr>
                <w:rFonts w:cs="Arial"/>
                <w:sz w:val="20"/>
                <w:szCs w:val="20"/>
              </w:rPr>
              <w:t>2017.</w:t>
            </w:r>
          </w:p>
        </w:tc>
        <w:tc>
          <w:tcPr>
            <w:tcW w:w="1435" w:type="dxa"/>
          </w:tcPr>
          <w:p w14:paraId="28306CF8"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1.172</w:t>
            </w:r>
          </w:p>
        </w:tc>
        <w:tc>
          <w:tcPr>
            <w:tcW w:w="1436" w:type="dxa"/>
          </w:tcPr>
          <w:p w14:paraId="64D11DC3"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341</w:t>
            </w:r>
          </w:p>
        </w:tc>
        <w:tc>
          <w:tcPr>
            <w:tcW w:w="1435" w:type="dxa"/>
          </w:tcPr>
          <w:p w14:paraId="456FC078"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1.513</w:t>
            </w:r>
          </w:p>
        </w:tc>
        <w:tc>
          <w:tcPr>
            <w:tcW w:w="1436" w:type="dxa"/>
          </w:tcPr>
          <w:p w14:paraId="6B379462"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325</w:t>
            </w:r>
          </w:p>
        </w:tc>
        <w:tc>
          <w:tcPr>
            <w:tcW w:w="1595" w:type="dxa"/>
          </w:tcPr>
          <w:p w14:paraId="4E4456CE"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21,48</w:t>
            </w:r>
          </w:p>
        </w:tc>
      </w:tr>
      <w:tr w:rsidR="005307B5" w:rsidRPr="002E5315" w14:paraId="07611448" w14:textId="77777777" w:rsidTr="00062EB1">
        <w:trPr>
          <w:trHeight w:val="235"/>
        </w:trPr>
        <w:tc>
          <w:tcPr>
            <w:cnfStyle w:val="001000000000" w:firstRow="0" w:lastRow="0" w:firstColumn="1" w:lastColumn="0" w:oddVBand="0" w:evenVBand="0" w:oddHBand="0" w:evenHBand="0" w:firstRowFirstColumn="0" w:firstRowLastColumn="0" w:lastRowFirstColumn="0" w:lastRowLastColumn="0"/>
            <w:tcW w:w="1843" w:type="dxa"/>
          </w:tcPr>
          <w:p w14:paraId="0B527BEF" w14:textId="77777777" w:rsidR="005307B5" w:rsidRPr="002E5315" w:rsidRDefault="005307B5" w:rsidP="005307B5">
            <w:pPr>
              <w:jc w:val="center"/>
              <w:rPr>
                <w:rFonts w:cs="Arial"/>
                <w:sz w:val="20"/>
                <w:szCs w:val="20"/>
              </w:rPr>
            </w:pPr>
            <w:r w:rsidRPr="002E5315">
              <w:rPr>
                <w:rFonts w:cs="Arial"/>
                <w:sz w:val="20"/>
                <w:szCs w:val="20"/>
              </w:rPr>
              <w:t>2018.</w:t>
            </w:r>
          </w:p>
        </w:tc>
        <w:tc>
          <w:tcPr>
            <w:tcW w:w="1435" w:type="dxa"/>
          </w:tcPr>
          <w:p w14:paraId="76693026"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1.010</w:t>
            </w:r>
          </w:p>
        </w:tc>
        <w:tc>
          <w:tcPr>
            <w:tcW w:w="1436" w:type="dxa"/>
          </w:tcPr>
          <w:p w14:paraId="3C692814"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323</w:t>
            </w:r>
          </w:p>
        </w:tc>
        <w:tc>
          <w:tcPr>
            <w:tcW w:w="1435" w:type="dxa"/>
          </w:tcPr>
          <w:p w14:paraId="29334DE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1.333</w:t>
            </w:r>
          </w:p>
        </w:tc>
        <w:tc>
          <w:tcPr>
            <w:tcW w:w="1436" w:type="dxa"/>
          </w:tcPr>
          <w:p w14:paraId="5197D610" w14:textId="3FBDF602"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307</w:t>
            </w:r>
          </w:p>
        </w:tc>
        <w:tc>
          <w:tcPr>
            <w:tcW w:w="1595" w:type="dxa"/>
          </w:tcPr>
          <w:p w14:paraId="48FC0538"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2E5315">
              <w:rPr>
                <w:rFonts w:cs="Arial"/>
                <w:sz w:val="20"/>
                <w:szCs w:val="20"/>
              </w:rPr>
              <w:t>23,03</w:t>
            </w:r>
          </w:p>
        </w:tc>
      </w:tr>
      <w:tr w:rsidR="005307B5" w:rsidRPr="002E5315" w14:paraId="773FDC1B" w14:textId="77777777" w:rsidTr="00062EB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43" w:type="dxa"/>
          </w:tcPr>
          <w:p w14:paraId="3253C6F4" w14:textId="77777777" w:rsidR="005307B5" w:rsidRPr="002E5315" w:rsidRDefault="005307B5" w:rsidP="005307B5">
            <w:pPr>
              <w:jc w:val="center"/>
              <w:rPr>
                <w:rFonts w:cs="Arial"/>
                <w:sz w:val="20"/>
                <w:szCs w:val="20"/>
              </w:rPr>
            </w:pPr>
            <w:r w:rsidRPr="002E5315">
              <w:rPr>
                <w:rFonts w:cs="Arial"/>
                <w:sz w:val="20"/>
                <w:szCs w:val="20"/>
              </w:rPr>
              <w:t>2019.</w:t>
            </w:r>
          </w:p>
        </w:tc>
        <w:tc>
          <w:tcPr>
            <w:tcW w:w="1435" w:type="dxa"/>
          </w:tcPr>
          <w:p w14:paraId="53044C5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814</w:t>
            </w:r>
          </w:p>
        </w:tc>
        <w:tc>
          <w:tcPr>
            <w:tcW w:w="1436" w:type="dxa"/>
          </w:tcPr>
          <w:p w14:paraId="66F18D4E"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307</w:t>
            </w:r>
          </w:p>
        </w:tc>
        <w:tc>
          <w:tcPr>
            <w:tcW w:w="1435" w:type="dxa"/>
          </w:tcPr>
          <w:p w14:paraId="5BC6D22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1121</w:t>
            </w:r>
          </w:p>
        </w:tc>
        <w:tc>
          <w:tcPr>
            <w:tcW w:w="1436" w:type="dxa"/>
          </w:tcPr>
          <w:p w14:paraId="75794D2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232</w:t>
            </w:r>
          </w:p>
        </w:tc>
        <w:tc>
          <w:tcPr>
            <w:tcW w:w="1595" w:type="dxa"/>
          </w:tcPr>
          <w:p w14:paraId="4991BE5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E5315">
              <w:rPr>
                <w:rFonts w:cs="Arial"/>
                <w:sz w:val="20"/>
                <w:szCs w:val="20"/>
              </w:rPr>
              <w:t>20,70</w:t>
            </w:r>
          </w:p>
        </w:tc>
      </w:tr>
    </w:tbl>
    <w:p w14:paraId="5F7460D8" w14:textId="75937C78" w:rsidR="005307B5" w:rsidRPr="002E5315" w:rsidRDefault="005307B5" w:rsidP="00062EB1">
      <w:pPr>
        <w:shd w:val="clear" w:color="auto" w:fill="FFFFFF" w:themeFill="background1"/>
        <w:spacing w:after="240"/>
        <w:rPr>
          <w:rFonts w:cs="Arial"/>
          <w:i/>
          <w:sz w:val="20"/>
          <w:szCs w:val="20"/>
        </w:rPr>
      </w:pPr>
      <w:r w:rsidRPr="002E5315">
        <w:rPr>
          <w:rFonts w:cs="Arial"/>
          <w:i/>
          <w:sz w:val="20"/>
          <w:szCs w:val="20"/>
        </w:rPr>
        <w:t xml:space="preserve">Žalbe se odnose na postupke po zahtjevima za pristup i ponovnu uporabu informacija </w:t>
      </w:r>
    </w:p>
    <w:p w14:paraId="25659330" w14:textId="77777777" w:rsidR="00633D93" w:rsidRDefault="00062EB1" w:rsidP="00062EB1">
      <w:pPr>
        <w:shd w:val="clear" w:color="auto" w:fill="FFFFFF" w:themeFill="background1"/>
        <w:rPr>
          <w:rFonts w:cs="Arial"/>
          <w:color w:val="000000" w:themeColor="text1"/>
          <w:szCs w:val="23"/>
        </w:rPr>
      </w:pPr>
      <w:r w:rsidRPr="002E5315">
        <w:rPr>
          <w:szCs w:val="23"/>
        </w:rPr>
        <w:t xml:space="preserve">Tijekom 2019. </w:t>
      </w:r>
      <w:r w:rsidRPr="002E5315">
        <w:rPr>
          <w:bCs/>
          <w:szCs w:val="23"/>
        </w:rPr>
        <w:t>Povjerenik je riješio ukupno</w:t>
      </w:r>
      <w:r w:rsidR="00954DB8" w:rsidRPr="002E5315">
        <w:rPr>
          <w:bCs/>
          <w:szCs w:val="23"/>
        </w:rPr>
        <w:t xml:space="preserve"> </w:t>
      </w:r>
      <w:r w:rsidRPr="002E5315">
        <w:rPr>
          <w:bCs/>
          <w:szCs w:val="23"/>
        </w:rPr>
        <w:t>889</w:t>
      </w:r>
      <w:r w:rsidR="00954DB8" w:rsidRPr="002E5315">
        <w:rPr>
          <w:bCs/>
          <w:szCs w:val="23"/>
        </w:rPr>
        <w:t xml:space="preserve"> </w:t>
      </w:r>
      <w:r w:rsidRPr="002E5315">
        <w:rPr>
          <w:bCs/>
          <w:szCs w:val="23"/>
        </w:rPr>
        <w:t>žalbi, od kojih se p</w:t>
      </w:r>
      <w:r w:rsidRPr="002E5315">
        <w:rPr>
          <w:rFonts w:cs="Arial"/>
          <w:bCs/>
          <w:szCs w:val="23"/>
        </w:rPr>
        <w:t xml:space="preserve">rema </w:t>
      </w:r>
      <w:r w:rsidRPr="002E5315">
        <w:rPr>
          <w:rFonts w:cs="Arial"/>
          <w:bCs/>
          <w:color w:val="000000" w:themeColor="text1"/>
          <w:szCs w:val="23"/>
        </w:rPr>
        <w:t>vrsti zahtjeva, 885 ili 99,6% odnosi na pristup informacijama,</w:t>
      </w:r>
      <w:r w:rsidRPr="002E5315">
        <w:rPr>
          <w:rFonts w:cs="Arial"/>
          <w:color w:val="000000" w:themeColor="text1"/>
          <w:szCs w:val="23"/>
        </w:rPr>
        <w:t xml:space="preserve"> a 4 ili 0,4% na ponovnu uporabu informacija</w:t>
      </w:r>
      <w:r w:rsidR="00633D93">
        <w:rPr>
          <w:rFonts w:cs="Arial"/>
          <w:color w:val="000000" w:themeColor="text1"/>
          <w:szCs w:val="23"/>
        </w:rPr>
        <w:t>.</w:t>
      </w:r>
    </w:p>
    <w:p w14:paraId="6ED6672A" w14:textId="77777777" w:rsidR="00633D93" w:rsidRDefault="00062EB1" w:rsidP="00062EB1">
      <w:pPr>
        <w:shd w:val="clear" w:color="auto" w:fill="FFFFFF" w:themeFill="background1"/>
        <w:tabs>
          <w:tab w:val="left" w:pos="-1843"/>
        </w:tabs>
        <w:rPr>
          <w:rFonts w:cs="Arial"/>
          <w:szCs w:val="23"/>
        </w:rPr>
      </w:pPr>
      <w:r w:rsidRPr="002E5315">
        <w:rPr>
          <w:rFonts w:cs="Arial"/>
          <w:szCs w:val="23"/>
        </w:rPr>
        <w:t>U nastavku se razmatraju odluke po žalbama u svezi zahtjeva za pristup i ponovnu uporabu informacija</w:t>
      </w:r>
      <w:r w:rsidR="00633D93">
        <w:rPr>
          <w:rFonts w:cs="Arial"/>
          <w:szCs w:val="23"/>
        </w:rPr>
        <w:t>.</w:t>
      </w:r>
    </w:p>
    <w:p w14:paraId="79584632" w14:textId="44CC5B46" w:rsidR="005307B5" w:rsidRPr="002E5315" w:rsidRDefault="005307B5" w:rsidP="00892BF9">
      <w:pPr>
        <w:pStyle w:val="Naslov2"/>
      </w:pPr>
      <w:bookmarkStart w:id="22" w:name="_Toc36308927"/>
      <w:r w:rsidRPr="002E5315">
        <w:t>Odluke o žalbama prema ishodu postupka</w:t>
      </w:r>
      <w:bookmarkEnd w:id="22"/>
      <w:r w:rsidRPr="002E5315">
        <w:t xml:space="preserve"> </w:t>
      </w:r>
    </w:p>
    <w:p w14:paraId="7E7B9981" w14:textId="77777777" w:rsidR="00633D93" w:rsidRDefault="00062EB1" w:rsidP="00062EB1">
      <w:pPr>
        <w:shd w:val="clear" w:color="auto" w:fill="FFFFFF" w:themeFill="background1"/>
        <w:tabs>
          <w:tab w:val="left" w:pos="-1843"/>
        </w:tabs>
        <w:rPr>
          <w:rFonts w:cs="Arial"/>
          <w:bCs/>
          <w:szCs w:val="23"/>
        </w:rPr>
      </w:pPr>
      <w:r w:rsidRPr="002E5315">
        <w:rPr>
          <w:rFonts w:cs="Arial"/>
          <w:szCs w:val="23"/>
        </w:rPr>
        <w:t>U odnosu na žalbe koje se odnose na zahtjeve za pristup informacijama</w:t>
      </w:r>
      <w:r w:rsidRPr="002E5315">
        <w:rPr>
          <w:rFonts w:cs="Arial"/>
          <w:bCs/>
          <w:szCs w:val="23"/>
        </w:rPr>
        <w:t xml:space="preserve">, tijekom 2019. je u radu bilo </w:t>
      </w:r>
      <w:r w:rsidRPr="002E5315">
        <w:rPr>
          <w:rFonts w:cs="Arial"/>
          <w:bCs/>
          <w:color w:val="000000" w:themeColor="text1"/>
          <w:szCs w:val="23"/>
        </w:rPr>
        <w:t>1.11</w:t>
      </w:r>
      <w:r w:rsidR="00D1735A" w:rsidRPr="002E5315">
        <w:rPr>
          <w:rFonts w:cs="Arial"/>
          <w:bCs/>
          <w:color w:val="000000" w:themeColor="text1"/>
          <w:szCs w:val="23"/>
        </w:rPr>
        <w:t>3</w:t>
      </w:r>
      <w:r w:rsidRPr="002E5315">
        <w:rPr>
          <w:rFonts w:cs="Arial"/>
          <w:bCs/>
          <w:color w:val="000000" w:themeColor="text1"/>
          <w:szCs w:val="23"/>
        </w:rPr>
        <w:t xml:space="preserve"> </w:t>
      </w:r>
      <w:r w:rsidRPr="002E5315">
        <w:rPr>
          <w:rFonts w:cs="Arial"/>
          <w:bCs/>
          <w:szCs w:val="23"/>
        </w:rPr>
        <w:t>predmeta, od kojih je riješeno 885, a podaci o ponovnoj uporabi su prikazani u posebnom dijelu</w:t>
      </w:r>
      <w:r w:rsidR="00633D93">
        <w:rPr>
          <w:rFonts w:cs="Arial"/>
          <w:bCs/>
          <w:szCs w:val="23"/>
        </w:rPr>
        <w:t>.</w:t>
      </w:r>
    </w:p>
    <w:p w14:paraId="18DAD423" w14:textId="6042D1E8" w:rsidR="00062EB1" w:rsidRPr="002E5315" w:rsidRDefault="00062EB1" w:rsidP="00062EB1">
      <w:pPr>
        <w:shd w:val="clear" w:color="auto" w:fill="FFFFFF" w:themeFill="background1"/>
        <w:tabs>
          <w:tab w:val="left" w:pos="-1843"/>
        </w:tabs>
        <w:rPr>
          <w:rFonts w:cstheme="minorHAnsi"/>
          <w:szCs w:val="23"/>
        </w:rPr>
      </w:pPr>
      <w:r w:rsidRPr="002E5315">
        <w:rPr>
          <w:rFonts w:cstheme="minorHAnsi"/>
          <w:szCs w:val="23"/>
        </w:rPr>
        <w:t xml:space="preserve">Od ukupno </w:t>
      </w:r>
      <w:r w:rsidRPr="002E5315">
        <w:rPr>
          <w:rFonts w:cstheme="minorHAnsi"/>
          <w:bCs/>
          <w:szCs w:val="23"/>
        </w:rPr>
        <w:t>507 riješenih</w:t>
      </w:r>
      <w:r w:rsidR="00954DB8" w:rsidRPr="002E5315">
        <w:rPr>
          <w:rFonts w:cstheme="minorHAnsi"/>
          <w:bCs/>
          <w:szCs w:val="23"/>
        </w:rPr>
        <w:t xml:space="preserve"> </w:t>
      </w:r>
      <w:r w:rsidRPr="002E5315">
        <w:rPr>
          <w:rFonts w:cstheme="minorHAnsi"/>
          <w:bCs/>
          <w:szCs w:val="23"/>
        </w:rPr>
        <w:t xml:space="preserve">predmeta povodom tzv. šutnje uprave </w:t>
      </w:r>
      <w:r w:rsidRPr="002E5315">
        <w:rPr>
          <w:rFonts w:cstheme="minorHAnsi"/>
          <w:szCs w:val="23"/>
        </w:rPr>
        <w:t>u predmetima po zahtjevima za pristup informacijama, Povjerenik je:</w:t>
      </w:r>
    </w:p>
    <w:p w14:paraId="1E0905A1" w14:textId="77777777" w:rsidR="00062EB1" w:rsidRPr="002E5315" w:rsidRDefault="00062EB1" w:rsidP="000114BF">
      <w:pPr>
        <w:pStyle w:val="Odlomakpopisa"/>
        <w:numPr>
          <w:ilvl w:val="0"/>
          <w:numId w:val="7"/>
        </w:numPr>
        <w:shd w:val="clear" w:color="auto" w:fill="FFFFFF" w:themeFill="background1"/>
        <w:ind w:left="1260"/>
        <w:textAlignment w:val="baseline"/>
        <w:rPr>
          <w:rFonts w:ascii="Gill Sans MT" w:hAnsi="Gill Sans MT" w:cstheme="minorBidi"/>
          <w:sz w:val="23"/>
          <w:szCs w:val="23"/>
        </w:rPr>
      </w:pPr>
      <w:r w:rsidRPr="002E5315">
        <w:rPr>
          <w:rFonts w:ascii="Gill Sans MT" w:hAnsi="Gill Sans MT" w:cstheme="minorBidi"/>
          <w:sz w:val="23"/>
          <w:szCs w:val="23"/>
        </w:rPr>
        <w:lastRenderedPageBreak/>
        <w:t>u 207 (40,91%) slučajeva obustavio postupak, ako je žalitelj odustao od žalbe ili je tijelo javne vlasti nakon izjavljene žalbe postupilo po zahtjevu žalitelja dostavljajući tražene informacije odnosno donoseći rješenje kojim se zahtjev odbija, a povodom kojega se mogla izjaviti žalba</w:t>
      </w:r>
    </w:p>
    <w:p w14:paraId="5B29ACD5" w14:textId="77777777" w:rsidR="00062EB1" w:rsidRPr="002E5315" w:rsidRDefault="00062EB1" w:rsidP="000114BF">
      <w:pPr>
        <w:pStyle w:val="Odlomakpopisa"/>
        <w:numPr>
          <w:ilvl w:val="0"/>
          <w:numId w:val="7"/>
        </w:numPr>
        <w:shd w:val="clear" w:color="auto" w:fill="FFFFFF" w:themeFill="background1"/>
        <w:ind w:left="1260"/>
        <w:textAlignment w:val="baseline"/>
        <w:rPr>
          <w:rFonts w:ascii="Gill Sans MT" w:hAnsi="Gill Sans MT" w:cstheme="minorBidi"/>
          <w:sz w:val="23"/>
          <w:szCs w:val="23"/>
        </w:rPr>
      </w:pPr>
      <w:r w:rsidRPr="002E5315">
        <w:rPr>
          <w:rFonts w:ascii="Gill Sans MT" w:hAnsi="Gill Sans MT" w:cstheme="minorBidi"/>
          <w:sz w:val="23"/>
          <w:szCs w:val="23"/>
        </w:rPr>
        <w:t>u 180 (35,57%) slučajeva naložio tijelima javne vlasti da u određenom roku riješe zahtjev za pristup informacijama, odnosno da donesu rješenje jer razlozi za nepostupanje po zahtjevu za pristup informacijama nisu bili opravdani</w:t>
      </w:r>
    </w:p>
    <w:p w14:paraId="68D83BD2" w14:textId="77777777" w:rsidR="00062EB1" w:rsidRPr="002E5315" w:rsidRDefault="00062EB1" w:rsidP="000114BF">
      <w:pPr>
        <w:pStyle w:val="Odlomakpopisa"/>
        <w:numPr>
          <w:ilvl w:val="0"/>
          <w:numId w:val="7"/>
        </w:numPr>
        <w:shd w:val="clear" w:color="auto" w:fill="FFFFFF" w:themeFill="background1"/>
        <w:spacing w:after="60"/>
        <w:ind w:left="1260"/>
        <w:textAlignment w:val="baseline"/>
        <w:rPr>
          <w:rFonts w:ascii="Gill Sans MT" w:hAnsi="Gill Sans MT" w:cstheme="minorBidi"/>
          <w:sz w:val="23"/>
          <w:szCs w:val="23"/>
        </w:rPr>
      </w:pPr>
      <w:r w:rsidRPr="002E5315">
        <w:rPr>
          <w:rFonts w:ascii="Gill Sans MT" w:hAnsi="Gill Sans MT" w:cstheme="minorBidi"/>
          <w:sz w:val="23"/>
          <w:szCs w:val="23"/>
        </w:rPr>
        <w:t>87 (17%) žalbi odbacio kao nedopuštene, u pravilu jer je žalitelju osigurana zaštita putem drugog propisa, sukladno članku 1. stavku 3. ZPPI-ja (stranka je u postupku) ili žalitelji nisu ispravili nedostatke u žalbi</w:t>
      </w:r>
    </w:p>
    <w:p w14:paraId="0CC051B8" w14:textId="118D24B1" w:rsidR="00062EB1" w:rsidRPr="002E5315" w:rsidRDefault="00062EB1" w:rsidP="00062EB1">
      <w:pPr>
        <w:pStyle w:val="Odlomakpopisa"/>
        <w:numPr>
          <w:ilvl w:val="0"/>
          <w:numId w:val="7"/>
        </w:numPr>
        <w:shd w:val="clear" w:color="auto" w:fill="FFFFFF" w:themeFill="background1"/>
        <w:spacing w:after="60"/>
        <w:ind w:left="1260"/>
        <w:textAlignment w:val="baseline"/>
        <w:rPr>
          <w:rFonts w:ascii="Gill Sans MT" w:hAnsi="Gill Sans MT"/>
          <w:sz w:val="23"/>
          <w:szCs w:val="23"/>
        </w:rPr>
      </w:pPr>
      <w:r w:rsidRPr="002E5315">
        <w:rPr>
          <w:rFonts w:ascii="Gill Sans MT" w:hAnsi="Gill Sans MT" w:cstheme="minorBidi"/>
          <w:sz w:val="23"/>
          <w:szCs w:val="23"/>
        </w:rPr>
        <w:t>u 34</w:t>
      </w:r>
      <w:r w:rsidR="00954DB8" w:rsidRPr="002E5315">
        <w:rPr>
          <w:rFonts w:ascii="Gill Sans MT" w:hAnsi="Gill Sans MT" w:cstheme="minorBidi"/>
          <w:sz w:val="23"/>
          <w:szCs w:val="23"/>
        </w:rPr>
        <w:t xml:space="preserve"> </w:t>
      </w:r>
      <w:r w:rsidRPr="002E5315">
        <w:rPr>
          <w:rFonts w:ascii="Gill Sans MT" w:hAnsi="Gill Sans MT" w:cstheme="minorBidi"/>
          <w:sz w:val="23"/>
          <w:szCs w:val="23"/>
        </w:rPr>
        <w:t>(6,52%) slučaja odbio žalbu kao neosnovanu</w:t>
      </w:r>
    </w:p>
    <w:p w14:paraId="767B165E" w14:textId="77777777" w:rsidR="00633D93" w:rsidRDefault="00062EB1" w:rsidP="00E41146">
      <w:pPr>
        <w:shd w:val="clear" w:color="auto" w:fill="FFFFFF" w:themeFill="background1"/>
        <w:spacing w:before="240"/>
        <w:rPr>
          <w:rFonts w:cstheme="minorHAnsi"/>
          <w:szCs w:val="23"/>
        </w:rPr>
      </w:pPr>
      <w:r w:rsidRPr="002E5315">
        <w:rPr>
          <w:rFonts w:cstheme="minorHAnsi"/>
          <w:szCs w:val="23"/>
        </w:rPr>
        <w:t xml:space="preserve">Temeljem navedenih podataka vidljivo je da u </w:t>
      </w:r>
      <w:r w:rsidRPr="002E5315">
        <w:rPr>
          <w:rFonts w:cstheme="minorHAnsi"/>
          <w:bCs/>
          <w:szCs w:val="23"/>
        </w:rPr>
        <w:t>nešto više od 35% predmeta i nakon izjavljene žalbe i zatraženog očitovanja, tijelo javne vlasti nije riješilo zahtjev. To prvenstveno</w:t>
      </w:r>
      <w:r w:rsidRPr="002E5315">
        <w:rPr>
          <w:rFonts w:cstheme="minorHAnsi"/>
          <w:b/>
          <w:bCs/>
          <w:szCs w:val="23"/>
        </w:rPr>
        <w:t xml:space="preserve"> upućuje na uobičajenu praksu nekih tijela da kroz institut „šutnje uprave“odugovlače s rješavanjem zahtjeva </w:t>
      </w:r>
      <w:r w:rsidRPr="002E5315">
        <w:rPr>
          <w:rFonts w:cstheme="minorHAnsi"/>
          <w:szCs w:val="23"/>
        </w:rPr>
        <w:t>te u slučaju učestalog kršenja zakonske obveze, ukazuje i na potrebu sankcioniranja odgovorne osobe u tijelu javne vlasti</w:t>
      </w:r>
      <w:r w:rsidR="00633D93">
        <w:rPr>
          <w:rFonts w:cstheme="minorHAnsi"/>
          <w:szCs w:val="23"/>
        </w:rPr>
        <w:t>.</w:t>
      </w:r>
    </w:p>
    <w:p w14:paraId="60E282D9" w14:textId="66BCDD1A" w:rsidR="00062EB1" w:rsidRPr="002E5315" w:rsidRDefault="00062EB1" w:rsidP="00062EB1">
      <w:pPr>
        <w:shd w:val="clear" w:color="auto" w:fill="FFFFFF" w:themeFill="background1"/>
        <w:rPr>
          <w:rFonts w:cstheme="minorHAnsi"/>
          <w:szCs w:val="23"/>
        </w:rPr>
      </w:pPr>
      <w:r w:rsidRPr="002E5315">
        <w:rPr>
          <w:rFonts w:cstheme="minorHAnsi"/>
          <w:szCs w:val="23"/>
        </w:rPr>
        <w:t xml:space="preserve">Međutim, u </w:t>
      </w:r>
      <w:r w:rsidRPr="002E5315">
        <w:rPr>
          <w:rFonts w:cstheme="minorHAnsi"/>
          <w:bCs/>
          <w:szCs w:val="23"/>
        </w:rPr>
        <w:t>40,91% slučajeva</w:t>
      </w:r>
      <w:r w:rsidRPr="002E5315">
        <w:rPr>
          <w:rFonts w:cstheme="minorHAnsi"/>
          <w:szCs w:val="23"/>
        </w:rPr>
        <w:t xml:space="preserve"> tijelo javne vlasti ili žalitelj su nakon zaprimanja obavijesti o izjavljenoj žalbi i zatraženog očitovanja, obavijestili da je </w:t>
      </w:r>
      <w:r w:rsidRPr="002E5315">
        <w:rPr>
          <w:rFonts w:cstheme="minorHAnsi"/>
          <w:bCs/>
          <w:szCs w:val="23"/>
        </w:rPr>
        <w:t>zahtjev za pristup informacijama u međuvremenu riješen</w:t>
      </w:r>
      <w:r w:rsidRPr="002E5315">
        <w:rPr>
          <w:rFonts w:cstheme="minorHAnsi"/>
          <w:szCs w:val="23"/>
        </w:rPr>
        <w:t>. Navedeno ukazuje da se, s obzirom na kratkoću rokova za rješavanje zahtjeva za pristup informacijama, dio šutnje uprave može pripisati neodgovarajućoj organizaciji rada u tijelima javne vlasti s više ustrojstvenih jedinica, podnošenja zahtjeva za pristup informacijama osobi koja nije službenik za informiranje (te na taj način zaobilaženje službenika za informiranje), promjene službenika za informiranje, nepostojanja zamjene za odsutnog službenika za informiranje te nedovoljno znanja službenika u tijelu o načinu rješavanja zahtjeva.</w:t>
      </w:r>
    </w:p>
    <w:p w14:paraId="48B8B6C9" w14:textId="77777777" w:rsidR="00633D93" w:rsidRDefault="00062EB1" w:rsidP="00062EB1">
      <w:pPr>
        <w:shd w:val="clear" w:color="auto" w:fill="FFFFFF" w:themeFill="background1"/>
        <w:rPr>
          <w:rFonts w:cstheme="minorHAnsi"/>
          <w:b/>
          <w:bCs/>
          <w:szCs w:val="23"/>
        </w:rPr>
      </w:pPr>
      <w:r w:rsidRPr="002E5315">
        <w:rPr>
          <w:rFonts w:cstheme="minorHAnsi"/>
          <w:szCs w:val="23"/>
        </w:rPr>
        <w:t>Iz podataka o obustavljenim postupcima (40,91%), vidljivo je da je</w:t>
      </w:r>
      <w:r w:rsidRPr="002E5315">
        <w:rPr>
          <w:rFonts w:cstheme="minorHAnsi"/>
          <w:b/>
          <w:bCs/>
          <w:szCs w:val="23"/>
        </w:rPr>
        <w:t xml:space="preserve"> podnošenje žalbe Povjereniku zbog šutnje uprave, u brojnim slučajevima predstavljalo dostatno upozorenje tijelu javne vlasti da zahtjev riješi prije donošenja odluke Povjerenika</w:t>
      </w:r>
      <w:r w:rsidR="00633D93">
        <w:rPr>
          <w:rFonts w:cstheme="minorHAnsi"/>
          <w:b/>
          <w:bCs/>
          <w:szCs w:val="23"/>
        </w:rPr>
        <w:t>.</w:t>
      </w:r>
    </w:p>
    <w:p w14:paraId="0230DB99" w14:textId="6B1611E0" w:rsidR="00062EB1" w:rsidRPr="002E5315" w:rsidRDefault="00062EB1" w:rsidP="00062EB1">
      <w:pPr>
        <w:shd w:val="clear" w:color="auto" w:fill="FFFFFF" w:themeFill="background1"/>
        <w:tabs>
          <w:tab w:val="left" w:pos="-1843"/>
        </w:tabs>
        <w:rPr>
          <w:rFonts w:cs="Arial"/>
          <w:szCs w:val="23"/>
        </w:rPr>
      </w:pPr>
      <w:r w:rsidRPr="002E5315">
        <w:rPr>
          <w:rFonts w:cstheme="minorHAnsi"/>
          <w:color w:val="000000"/>
          <w:szCs w:val="23"/>
        </w:rPr>
        <w:t xml:space="preserve">Od riješenih 378 žalbi na odbijajuća i odbacujuća prvostupanjska rješenja u predmetima ostvarivanja prava na pristup informacijama, Povjerenik je u najvećem broju slučajeva postupio kako slijedi: </w:t>
      </w:r>
    </w:p>
    <w:p w14:paraId="27652C9D" w14:textId="77777777" w:rsidR="00062EB1" w:rsidRPr="002E5315" w:rsidRDefault="00062EB1" w:rsidP="000114BF">
      <w:pPr>
        <w:pStyle w:val="Odlomakpopisa"/>
        <w:numPr>
          <w:ilvl w:val="0"/>
          <w:numId w:val="6"/>
        </w:numPr>
        <w:shd w:val="clear" w:color="auto" w:fill="FFFFFF" w:themeFill="background1"/>
        <w:ind w:left="1080" w:hanging="270"/>
        <w:textAlignment w:val="baseline"/>
        <w:rPr>
          <w:rFonts w:ascii="Gill Sans MT" w:hAnsi="Gill Sans MT" w:cstheme="minorHAnsi"/>
          <w:color w:val="000000"/>
          <w:sz w:val="23"/>
          <w:szCs w:val="23"/>
        </w:rPr>
      </w:pPr>
      <w:r w:rsidRPr="002E5315">
        <w:rPr>
          <w:rFonts w:ascii="Gill Sans MT" w:hAnsi="Gill Sans MT" w:cstheme="minorHAnsi"/>
          <w:color w:val="000000"/>
          <w:sz w:val="23"/>
          <w:szCs w:val="23"/>
        </w:rPr>
        <w:t>120 (32,01%) žalbi odbio kao neosnovane jer je utvrđeno da je postupak koji je prethodio rješenju pravilno proveden i da je rješenje pravilno i osnovano na zakonu</w:t>
      </w:r>
    </w:p>
    <w:p w14:paraId="5B6D0F70" w14:textId="77777777" w:rsidR="003B229D" w:rsidRDefault="00062EB1" w:rsidP="003B229D">
      <w:pPr>
        <w:pStyle w:val="Odlomakpopisa"/>
        <w:numPr>
          <w:ilvl w:val="0"/>
          <w:numId w:val="6"/>
        </w:numPr>
        <w:shd w:val="clear" w:color="auto" w:fill="FFFFFF" w:themeFill="background1"/>
        <w:spacing w:after="60"/>
        <w:ind w:left="1080" w:hanging="270"/>
        <w:textAlignment w:val="baseline"/>
        <w:rPr>
          <w:rFonts w:ascii="Gill Sans MT" w:hAnsi="Gill Sans MT" w:cstheme="minorHAnsi"/>
          <w:color w:val="000000"/>
          <w:sz w:val="23"/>
          <w:szCs w:val="23"/>
        </w:rPr>
      </w:pPr>
      <w:r w:rsidRPr="002E5315">
        <w:rPr>
          <w:rFonts w:ascii="Gill Sans MT" w:hAnsi="Gill Sans MT" w:cstheme="minorHAnsi"/>
          <w:color w:val="000000"/>
          <w:sz w:val="23"/>
          <w:szCs w:val="23"/>
        </w:rPr>
        <w:t xml:space="preserve">140 (36,77%) rješenja poništio i naložio tijelu javne vlasti da žalitelju omogući pristup </w:t>
      </w:r>
      <w:r w:rsidRPr="003B229D">
        <w:rPr>
          <w:rFonts w:ascii="Gill Sans MT" w:hAnsi="Gill Sans MT" w:cstheme="minorHAnsi"/>
          <w:color w:val="000000"/>
          <w:sz w:val="23"/>
          <w:szCs w:val="23"/>
        </w:rPr>
        <w:t>informaciji kada je utvrđeno da je žalba osnovana</w:t>
      </w:r>
    </w:p>
    <w:p w14:paraId="4E4C6BAF" w14:textId="71A17E09" w:rsidR="00062EB1" w:rsidRPr="003B229D" w:rsidRDefault="00062EB1" w:rsidP="003B229D">
      <w:pPr>
        <w:pStyle w:val="Odlomakpopisa"/>
        <w:numPr>
          <w:ilvl w:val="0"/>
          <w:numId w:val="6"/>
        </w:numPr>
        <w:shd w:val="clear" w:color="auto" w:fill="FFFFFF" w:themeFill="background1"/>
        <w:spacing w:after="60"/>
        <w:ind w:left="1080" w:hanging="270"/>
        <w:textAlignment w:val="baseline"/>
        <w:rPr>
          <w:rFonts w:ascii="Gill Sans MT" w:hAnsi="Gill Sans MT" w:cstheme="minorHAnsi"/>
          <w:color w:val="000000"/>
          <w:sz w:val="23"/>
          <w:szCs w:val="23"/>
        </w:rPr>
      </w:pPr>
      <w:r w:rsidRPr="003B229D">
        <w:rPr>
          <w:rFonts w:ascii="Gill Sans MT" w:hAnsi="Gill Sans MT" w:cstheme="minorHAnsi"/>
          <w:color w:val="000000"/>
          <w:sz w:val="23"/>
          <w:szCs w:val="23"/>
        </w:rPr>
        <w:t>90 (24,07%) rješenj</w:t>
      </w:r>
      <w:r w:rsidR="003B229D" w:rsidRPr="003B229D">
        <w:rPr>
          <w:rFonts w:ascii="Gill Sans MT" w:hAnsi="Gill Sans MT" w:cstheme="minorHAnsi"/>
          <w:color w:val="000000"/>
          <w:sz w:val="23"/>
          <w:szCs w:val="23"/>
        </w:rPr>
        <w:t>a</w:t>
      </w:r>
      <w:r w:rsidRPr="003B229D">
        <w:rPr>
          <w:rFonts w:ascii="Gill Sans MT" w:hAnsi="Gill Sans MT" w:cstheme="minorHAnsi"/>
          <w:color w:val="000000"/>
          <w:sz w:val="23"/>
          <w:szCs w:val="23"/>
        </w:rPr>
        <w:t xml:space="preserve"> poništio i dostavio predmet na ponovno rješavanje tijelu (kad je, s obzirom na prirodu upravne stvari, bilo nužno neposredno rješavanje prvostupanjskog tijela)</w:t>
      </w:r>
    </w:p>
    <w:p w14:paraId="1B694E52" w14:textId="77777777" w:rsidR="00633D93" w:rsidRDefault="00062EB1" w:rsidP="00062EB1">
      <w:pPr>
        <w:shd w:val="clear" w:color="auto" w:fill="FFFFFF" w:themeFill="background1"/>
        <w:tabs>
          <w:tab w:val="left" w:pos="-1843"/>
        </w:tabs>
        <w:spacing w:before="240"/>
        <w:rPr>
          <w:rFonts w:cstheme="minorHAnsi"/>
          <w:b/>
          <w:bCs/>
          <w:szCs w:val="23"/>
        </w:rPr>
      </w:pPr>
      <w:r w:rsidRPr="002E5315">
        <w:rPr>
          <w:rFonts w:cstheme="minorHAnsi"/>
          <w:szCs w:val="23"/>
        </w:rPr>
        <w:t xml:space="preserve">Iz podataka je vidljivo da je postupanje tijela javne vlasti u 32,01% postupaka po žalbi ocijenjeno kao zakonito i pravilno (38,41% u 2018.), dok je </w:t>
      </w:r>
      <w:r w:rsidRPr="002E5315">
        <w:rPr>
          <w:rFonts w:cstheme="minorHAnsi"/>
          <w:b/>
          <w:szCs w:val="23"/>
        </w:rPr>
        <w:t xml:space="preserve">u 60,84% slučajeva tijelo javne vlasti </w:t>
      </w:r>
      <w:r w:rsidRPr="002E5315">
        <w:rPr>
          <w:rFonts w:cstheme="minorHAnsi"/>
          <w:b/>
          <w:szCs w:val="23"/>
        </w:rPr>
        <w:lastRenderedPageBreak/>
        <w:t>donijelo odluku koja nije u skladu sa odredbama ZPPI-ja</w:t>
      </w:r>
      <w:r w:rsidRPr="002E5315">
        <w:rPr>
          <w:rFonts w:cstheme="minorHAnsi"/>
          <w:szCs w:val="23"/>
        </w:rPr>
        <w:t xml:space="preserve"> </w:t>
      </w:r>
      <w:r w:rsidRPr="002E5315">
        <w:rPr>
          <w:rFonts w:cstheme="minorHAnsi"/>
          <w:b/>
          <w:bCs/>
          <w:szCs w:val="23"/>
        </w:rPr>
        <w:t>te je rješenje poništeno, odnosno odluka izmijenjena</w:t>
      </w:r>
      <w:r w:rsidR="00633D93">
        <w:rPr>
          <w:rFonts w:cstheme="minorHAnsi"/>
          <w:b/>
          <w:bCs/>
          <w:szCs w:val="23"/>
        </w:rPr>
        <w:t>.</w:t>
      </w:r>
    </w:p>
    <w:p w14:paraId="22500319" w14:textId="77777777" w:rsidR="00633D93" w:rsidRDefault="00062EB1" w:rsidP="00062EB1">
      <w:pPr>
        <w:shd w:val="clear" w:color="auto" w:fill="FFFFFF" w:themeFill="background1"/>
        <w:spacing w:after="240"/>
        <w:rPr>
          <w:rFonts w:cstheme="minorHAnsi"/>
          <w:szCs w:val="23"/>
        </w:rPr>
      </w:pPr>
      <w:r w:rsidRPr="002E5315">
        <w:rPr>
          <w:rFonts w:cstheme="minorHAnsi"/>
          <w:szCs w:val="23"/>
        </w:rPr>
        <w:t>Podaci pokazuju da tijela javne vlasti i dalje daleko češće griješe, nego što postupaju u skladu s odredbama ZPPI-ja. Iz navedenog proizlazi da je ulaganje žalbe od strane korisnika i dalje ključno za zaštitu ustavnog prava građana na informaciju, što ujedno ukazuje na nužnost daljnjeg rada na edukaciji tijela javne vlasti te ukazivanju korisnicima na njihova prava</w:t>
      </w:r>
      <w:r w:rsidR="00633D93">
        <w:rPr>
          <w:rFonts w:cstheme="minorHAnsi"/>
          <w:szCs w:val="23"/>
        </w:rPr>
        <w:t>.</w:t>
      </w:r>
    </w:p>
    <w:p w14:paraId="222AB7F3" w14:textId="77777777" w:rsidR="00633D93" w:rsidRDefault="00062EB1" w:rsidP="00062EB1">
      <w:pPr>
        <w:shd w:val="clear" w:color="auto" w:fill="FFFFFF" w:themeFill="background1"/>
        <w:tabs>
          <w:tab w:val="left" w:pos="-1843"/>
        </w:tabs>
        <w:spacing w:after="60"/>
        <w:rPr>
          <w:rFonts w:cstheme="minorHAnsi"/>
          <w:szCs w:val="23"/>
        </w:rPr>
      </w:pPr>
      <w:r w:rsidRPr="002E5315">
        <w:rPr>
          <w:rFonts w:cstheme="minorHAnsi"/>
          <w:szCs w:val="23"/>
        </w:rPr>
        <w:t>Potrebno je naglasiti da je u 8 slučajeva Povjerenik, postupajući po odlukama Visokog upravnog suda RH tijekom 2019. u kojima su rješenja Povjerenika poništena (u predmetima u kojima je Povjerenik odbio žalbe kao neosnovane i potvrdio prvostupanjska rješenja HBOR-a, kojima je zahtjev odbijen zbog zlouporabe prava na pristup informacijama), donio 5 rješenja o poništavanju i vraćanju na ponovni postupak, a u 3 žalbena predmeta je omogućio pristup informacijama</w:t>
      </w:r>
      <w:r w:rsidR="00633D93">
        <w:rPr>
          <w:rFonts w:cstheme="minorHAnsi"/>
          <w:szCs w:val="23"/>
        </w:rPr>
        <w:t>.</w:t>
      </w:r>
    </w:p>
    <w:p w14:paraId="034C495F" w14:textId="729390E6" w:rsidR="00062EB1" w:rsidRPr="002E5315" w:rsidRDefault="00062EB1" w:rsidP="00062EB1">
      <w:pPr>
        <w:shd w:val="clear" w:color="auto" w:fill="FFFFFF" w:themeFill="background1"/>
        <w:rPr>
          <w:rFonts w:cstheme="minorHAnsi"/>
          <w:szCs w:val="23"/>
        </w:rPr>
      </w:pPr>
      <w:r w:rsidRPr="002E5315">
        <w:rPr>
          <w:rFonts w:cstheme="minorHAnsi"/>
          <w:bCs/>
          <w:szCs w:val="23"/>
        </w:rPr>
        <w:t>U odnosu na poništena rješenja Povjerenika u slučaju HBOR-a,</w:t>
      </w:r>
      <w:r w:rsidRPr="002E5315">
        <w:rPr>
          <w:rFonts w:cstheme="minorHAnsi"/>
          <w:b/>
          <w:szCs w:val="23"/>
        </w:rPr>
        <w:t xml:space="preserve"> </w:t>
      </w:r>
      <w:r w:rsidRPr="002E5315">
        <w:rPr>
          <w:rFonts w:cstheme="minorHAnsi"/>
          <w:szCs w:val="23"/>
        </w:rPr>
        <w:t>Nacionalno vijeće za praćenje provedbe Strategije suzbijanja korupcije, zaključkom je u srpnju 2019. pozvalo Povjerenika da dostavi informacije o dvije poništene odluke Povjerenika od strane Visokog upravnog suda RH kao i o praksi rada i donošenja odluka Povjerenika u slučajevima žalbi izjavljenih na rješenja HBOR-a, a koje odluke su bile i medijski naglašene i u kojima se pogrešno navodilo da je povjerenik promijenio praksu prethodne povjerenice.</w:t>
      </w:r>
    </w:p>
    <w:p w14:paraId="2E9A5744" w14:textId="77777777" w:rsidR="00633D93" w:rsidRDefault="00062EB1" w:rsidP="00062EB1">
      <w:pPr>
        <w:widowControl w:val="0"/>
        <w:autoSpaceDE w:val="0"/>
        <w:autoSpaceDN w:val="0"/>
        <w:adjustRightInd w:val="0"/>
        <w:rPr>
          <w:rFonts w:cstheme="minorHAnsi"/>
          <w:szCs w:val="23"/>
        </w:rPr>
      </w:pPr>
      <w:r w:rsidRPr="002E5315">
        <w:rPr>
          <w:rFonts w:cstheme="minorHAnsi"/>
          <w:szCs w:val="23"/>
        </w:rPr>
        <w:t>Nacionalnom vijeću za praćenje provedbe Strategije suzbijanja korupcije je pojašnjeno postupanje u svim dosadašnjim predmetima koje je Ured povjerenika imao u radu, a odnosili su se na predmete u kojima je HBOR uskraćivao različite informacije počevši od korisnika kredita HBOR-a, krajnjih korisnika kredita HBOR-a, zapisnika sa sjednica Nadzornog odbora, ugovora i dr. Analizom</w:t>
      </w:r>
      <w:r w:rsidR="00954DB8" w:rsidRPr="002E5315">
        <w:rPr>
          <w:rFonts w:cstheme="minorHAnsi"/>
          <w:szCs w:val="23"/>
        </w:rPr>
        <w:t xml:space="preserve"> </w:t>
      </w:r>
      <w:r w:rsidRPr="002E5315">
        <w:rPr>
          <w:rFonts w:cstheme="minorHAnsi"/>
          <w:szCs w:val="23"/>
        </w:rPr>
        <w:t>svih rješenja je vidljivo da je Povjerenik kao samostalno i neovisno tijelo donosio istovjetne odluke bez obzira je li odluka donesena u mandatu prethodne povjerenice</w:t>
      </w:r>
      <w:r w:rsidRPr="002E5315">
        <w:rPr>
          <w:rFonts w:cstheme="minorHAnsi"/>
          <w:b/>
          <w:szCs w:val="23"/>
        </w:rPr>
        <w:t xml:space="preserve"> </w:t>
      </w:r>
      <w:r w:rsidRPr="002E5315">
        <w:rPr>
          <w:rFonts w:cstheme="minorHAnsi"/>
          <w:szCs w:val="23"/>
        </w:rPr>
        <w:t xml:space="preserve">ili </w:t>
      </w:r>
      <w:r w:rsidRPr="002E5315">
        <w:rPr>
          <w:rFonts w:cstheme="minorHAnsi"/>
          <w:bCs/>
          <w:szCs w:val="23"/>
        </w:rPr>
        <w:t>aktualnog povjerenika</w:t>
      </w:r>
      <w:r w:rsidRPr="002E5315">
        <w:rPr>
          <w:rFonts w:cstheme="minorHAnsi"/>
          <w:szCs w:val="23"/>
        </w:rPr>
        <w:t xml:space="preserve">. U odgovoru je naglašeno da je Visoki upravni sud RH promijenio pravna stajališta u svojim presudama vezana uz zlouporabu prava (i krajnje korisnike kredita) i poništio odluke Povjerenika, bez obzira je li ih donosio aktualni povjerenik ili prethodna povjerenica. </w:t>
      </w:r>
      <w:r w:rsidRPr="002E5315">
        <w:rPr>
          <w:rFonts w:cstheme="minorHAnsi"/>
          <w:bCs/>
          <w:szCs w:val="23"/>
        </w:rPr>
        <w:t>Visoki upravni sud RH je zauzeo stajalište da kod raspolaganja javnim sredstvima ne može doći do zlouporabe prava,</w:t>
      </w:r>
      <w:r w:rsidRPr="002E5315">
        <w:rPr>
          <w:rFonts w:cstheme="minorHAnsi"/>
          <w:szCs w:val="23"/>
        </w:rPr>
        <w:t xml:space="preserve"> iako je u drugim slučajevima potvrđivao takve odluke (o čemu je više navedeno u dijelu koji se odnosi na sudski nadzor)</w:t>
      </w:r>
      <w:r w:rsidR="00633D93">
        <w:rPr>
          <w:rFonts w:cstheme="minorHAnsi"/>
          <w:szCs w:val="23"/>
        </w:rPr>
        <w:t>.</w:t>
      </w:r>
    </w:p>
    <w:p w14:paraId="78078E96" w14:textId="5BDFAA6F" w:rsidR="00E41146" w:rsidRPr="002E5315" w:rsidRDefault="00062EB1" w:rsidP="00E41146">
      <w:pPr>
        <w:widowControl w:val="0"/>
        <w:autoSpaceDE w:val="0"/>
        <w:autoSpaceDN w:val="0"/>
        <w:adjustRightInd w:val="0"/>
        <w:rPr>
          <w:rFonts w:cstheme="minorHAnsi"/>
          <w:szCs w:val="23"/>
        </w:rPr>
      </w:pPr>
      <w:r w:rsidRPr="002E5315">
        <w:rPr>
          <w:rFonts w:cstheme="minorHAnsi"/>
          <w:szCs w:val="23"/>
        </w:rPr>
        <w:t>Slijedom nove prakse Visokog upravnog suda RH vezane i uz krajnje korisnike kredita, Povjerenik je odobravao osim popisa korisnika kredita i pravo na pristup preslici popisa svih krajnjih korisnika kredita koje je HBOR kreditirao u određenim vremenskim razdoblju, kao i drugim dokumentima u kojima su navedeni ti podaci te</w:t>
      </w:r>
      <w:r w:rsidR="00954DB8" w:rsidRPr="002E5315">
        <w:rPr>
          <w:rFonts w:cstheme="minorHAnsi"/>
          <w:szCs w:val="23"/>
        </w:rPr>
        <w:t xml:space="preserve"> </w:t>
      </w:r>
      <w:r w:rsidRPr="002E5315">
        <w:rPr>
          <w:rFonts w:cstheme="minorHAnsi"/>
          <w:szCs w:val="23"/>
        </w:rPr>
        <w:t>nije razmatrao pitanje zlouporabe prava na pristup informacijama u slučajevima koje se odnose na raspolaganje javnim sredstvima</w:t>
      </w:r>
      <w:r w:rsidR="005307B5" w:rsidRPr="002E5315">
        <w:rPr>
          <w:rFonts w:cstheme="minorHAnsi"/>
          <w:szCs w:val="23"/>
        </w:rPr>
        <w:t>.</w:t>
      </w:r>
    </w:p>
    <w:p w14:paraId="6CC550B6" w14:textId="77777777" w:rsidR="00E41146" w:rsidRPr="002E5315" w:rsidRDefault="00E41146">
      <w:pPr>
        <w:spacing w:after="0" w:line="240" w:lineRule="auto"/>
        <w:jc w:val="left"/>
        <w:rPr>
          <w:rFonts w:cstheme="minorHAnsi"/>
          <w:szCs w:val="23"/>
        </w:rPr>
      </w:pPr>
      <w:r w:rsidRPr="002E5315">
        <w:rPr>
          <w:rFonts w:cstheme="minorHAnsi"/>
          <w:szCs w:val="23"/>
        </w:rPr>
        <w:br w:type="page"/>
      </w:r>
    </w:p>
    <w:p w14:paraId="2CE875DA" w14:textId="2476AE40" w:rsidR="005307B5" w:rsidRPr="002E5315" w:rsidRDefault="005307B5" w:rsidP="005307B5">
      <w:pPr>
        <w:keepNext/>
        <w:spacing w:before="240"/>
        <w:rPr>
          <w:rFonts w:cs="Arial"/>
          <w:sz w:val="20"/>
          <w:szCs w:val="20"/>
        </w:rPr>
      </w:pPr>
      <w:r w:rsidRPr="002E5315">
        <w:rPr>
          <w:rFonts w:cs="Arial"/>
          <w:sz w:val="20"/>
          <w:szCs w:val="20"/>
        </w:rPr>
        <w:lastRenderedPageBreak/>
        <w:t xml:space="preserve">Tablica </w:t>
      </w:r>
      <w:r w:rsidR="00616625" w:rsidRPr="002E5315">
        <w:rPr>
          <w:rFonts w:cs="Arial"/>
          <w:sz w:val="20"/>
          <w:szCs w:val="20"/>
        </w:rPr>
        <w:t>3</w:t>
      </w:r>
      <w:r w:rsidRPr="002E5315">
        <w:rPr>
          <w:rFonts w:cs="Arial"/>
          <w:sz w:val="20"/>
          <w:szCs w:val="20"/>
        </w:rPr>
        <w:t>.</w:t>
      </w:r>
      <w:r w:rsidR="00616625" w:rsidRPr="002E5315">
        <w:rPr>
          <w:rFonts w:cs="Arial"/>
          <w:sz w:val="20"/>
          <w:szCs w:val="20"/>
        </w:rPr>
        <w:t>7</w:t>
      </w:r>
      <w:r w:rsidRPr="002E5315">
        <w:rPr>
          <w:rFonts w:cs="Arial"/>
          <w:sz w:val="20"/>
          <w:szCs w:val="20"/>
        </w:rPr>
        <w:t>. Usporedni prikaz vrste odluka Povjerenika po žalbama 2017.-2019.</w:t>
      </w:r>
    </w:p>
    <w:tbl>
      <w:tblPr>
        <w:tblStyle w:val="Svijetlosjenanje-Isticanje5"/>
        <w:tblW w:w="9072" w:type="dxa"/>
        <w:jc w:val="center"/>
        <w:tblLayout w:type="fixed"/>
        <w:tblLook w:val="04A0" w:firstRow="1" w:lastRow="0" w:firstColumn="1" w:lastColumn="0" w:noHBand="0" w:noVBand="1"/>
      </w:tblPr>
      <w:tblGrid>
        <w:gridCol w:w="1134"/>
        <w:gridCol w:w="1984"/>
        <w:gridCol w:w="1985"/>
        <w:gridCol w:w="1984"/>
        <w:gridCol w:w="1985"/>
      </w:tblGrid>
      <w:tr w:rsidR="005307B5" w:rsidRPr="002E5315" w14:paraId="758AC112" w14:textId="77777777" w:rsidTr="00616625">
        <w:trPr>
          <w:cnfStyle w:val="100000000000" w:firstRow="1" w:lastRow="0" w:firstColumn="0" w:lastColumn="0" w:oddVBand="0" w:evenVBand="0" w:oddHBand="0"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1134" w:type="dxa"/>
            <w:hideMark/>
          </w:tcPr>
          <w:p w14:paraId="6CFDEF2E" w14:textId="77777777" w:rsidR="005307B5" w:rsidRPr="002E5315" w:rsidRDefault="005307B5" w:rsidP="005307B5">
            <w:pPr>
              <w:jc w:val="center"/>
              <w:rPr>
                <w:rFonts w:cs="Arial"/>
                <w:bCs w:val="0"/>
                <w:i/>
                <w:color w:val="auto"/>
                <w:sz w:val="20"/>
                <w:szCs w:val="20"/>
              </w:rPr>
            </w:pPr>
            <w:r w:rsidRPr="002E5315">
              <w:rPr>
                <w:rFonts w:cs="Arial"/>
                <w:i/>
                <w:color w:val="auto"/>
                <w:sz w:val="20"/>
                <w:szCs w:val="20"/>
              </w:rPr>
              <w:t>Godina</w:t>
            </w:r>
          </w:p>
        </w:tc>
        <w:tc>
          <w:tcPr>
            <w:tcW w:w="1984" w:type="dxa"/>
            <w:hideMark/>
          </w:tcPr>
          <w:p w14:paraId="64CDA062"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2E5315">
              <w:rPr>
                <w:i/>
                <w:color w:val="auto"/>
                <w:sz w:val="20"/>
                <w:szCs w:val="20"/>
              </w:rPr>
              <w:t>Žalba odbijena kao neosnovana</w:t>
            </w:r>
          </w:p>
        </w:tc>
        <w:tc>
          <w:tcPr>
            <w:tcW w:w="1985" w:type="dxa"/>
            <w:hideMark/>
          </w:tcPr>
          <w:p w14:paraId="3F8EC65D"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2E5315">
              <w:rPr>
                <w:i/>
                <w:color w:val="auto"/>
                <w:sz w:val="20"/>
                <w:szCs w:val="20"/>
              </w:rPr>
              <w:t>Poništeno rješenje i omogućen pristup informaciji</w:t>
            </w:r>
          </w:p>
        </w:tc>
        <w:tc>
          <w:tcPr>
            <w:tcW w:w="1984" w:type="dxa"/>
            <w:hideMark/>
          </w:tcPr>
          <w:p w14:paraId="635CB3CD"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2E5315">
              <w:rPr>
                <w:i/>
                <w:color w:val="auto"/>
                <w:sz w:val="20"/>
                <w:szCs w:val="20"/>
              </w:rPr>
              <w:t>Poništeno rješenje i predmet vraćen na ponovni postupak</w:t>
            </w:r>
          </w:p>
        </w:tc>
        <w:tc>
          <w:tcPr>
            <w:tcW w:w="1985" w:type="dxa"/>
            <w:hideMark/>
          </w:tcPr>
          <w:p w14:paraId="766AAD64"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i/>
                <w:color w:val="auto"/>
                <w:sz w:val="20"/>
                <w:szCs w:val="20"/>
              </w:rPr>
            </w:pPr>
            <w:r w:rsidRPr="002E5315">
              <w:rPr>
                <w:i/>
                <w:color w:val="auto"/>
                <w:sz w:val="20"/>
                <w:szCs w:val="20"/>
              </w:rPr>
              <w:t>Naloženo rješavanje zahtjeva</w:t>
            </w:r>
          </w:p>
        </w:tc>
      </w:tr>
      <w:tr w:rsidR="005307B5" w:rsidRPr="002E5315" w14:paraId="7661A952" w14:textId="77777777" w:rsidTr="00756407">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D9E2F3" w:themeFill="accent1" w:themeFillTint="33"/>
          </w:tcPr>
          <w:p w14:paraId="671DD788" w14:textId="77777777" w:rsidR="005307B5" w:rsidRPr="002E5315" w:rsidRDefault="005307B5" w:rsidP="005307B5">
            <w:pPr>
              <w:jc w:val="center"/>
              <w:rPr>
                <w:rFonts w:cs="Arial"/>
                <w:color w:val="auto"/>
                <w:sz w:val="20"/>
                <w:szCs w:val="20"/>
              </w:rPr>
            </w:pPr>
            <w:r w:rsidRPr="002E5315">
              <w:rPr>
                <w:rFonts w:cs="Arial"/>
                <w:color w:val="auto"/>
                <w:sz w:val="20"/>
                <w:szCs w:val="20"/>
              </w:rPr>
              <w:t>2017.</w:t>
            </w:r>
          </w:p>
        </w:tc>
        <w:tc>
          <w:tcPr>
            <w:tcW w:w="1984" w:type="dxa"/>
            <w:shd w:val="clear" w:color="auto" w:fill="D9E2F3" w:themeFill="accent1" w:themeFillTint="33"/>
          </w:tcPr>
          <w:p w14:paraId="7EE27051"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180 (28,44%)</w:t>
            </w:r>
          </w:p>
        </w:tc>
        <w:tc>
          <w:tcPr>
            <w:tcW w:w="1985" w:type="dxa"/>
            <w:shd w:val="clear" w:color="auto" w:fill="D9E2F3" w:themeFill="accent1" w:themeFillTint="33"/>
          </w:tcPr>
          <w:p w14:paraId="4FFBD38D"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173 (27,33%)</w:t>
            </w:r>
          </w:p>
        </w:tc>
        <w:tc>
          <w:tcPr>
            <w:tcW w:w="1984" w:type="dxa"/>
            <w:shd w:val="clear" w:color="auto" w:fill="D9E2F3" w:themeFill="accent1" w:themeFillTint="33"/>
          </w:tcPr>
          <w:p w14:paraId="0AEFB971"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260 (41,07%)</w:t>
            </w:r>
          </w:p>
        </w:tc>
        <w:tc>
          <w:tcPr>
            <w:tcW w:w="1985" w:type="dxa"/>
            <w:shd w:val="clear" w:color="auto" w:fill="D9E2F3" w:themeFill="accent1" w:themeFillTint="33"/>
          </w:tcPr>
          <w:p w14:paraId="29A9E923"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150 (28,09%)</w:t>
            </w:r>
          </w:p>
        </w:tc>
      </w:tr>
      <w:tr w:rsidR="005307B5" w:rsidRPr="002E5315" w14:paraId="78482147" w14:textId="77777777" w:rsidTr="00616625">
        <w:trPr>
          <w:trHeight w:val="295"/>
          <w:jc w:val="center"/>
        </w:trPr>
        <w:tc>
          <w:tcPr>
            <w:cnfStyle w:val="001000000000" w:firstRow="0" w:lastRow="0" w:firstColumn="1" w:lastColumn="0" w:oddVBand="0" w:evenVBand="0" w:oddHBand="0" w:evenHBand="0" w:firstRowFirstColumn="0" w:firstRowLastColumn="0" w:lastRowFirstColumn="0" w:lastRowLastColumn="0"/>
            <w:tcW w:w="1134" w:type="dxa"/>
          </w:tcPr>
          <w:p w14:paraId="1BA9A52E" w14:textId="77777777" w:rsidR="005307B5" w:rsidRPr="002E5315" w:rsidRDefault="005307B5" w:rsidP="005307B5">
            <w:pPr>
              <w:jc w:val="center"/>
              <w:rPr>
                <w:rFonts w:cs="Arial"/>
                <w:color w:val="auto"/>
                <w:sz w:val="20"/>
                <w:szCs w:val="20"/>
              </w:rPr>
            </w:pPr>
            <w:r w:rsidRPr="002E5315">
              <w:rPr>
                <w:rFonts w:cs="Arial"/>
                <w:color w:val="auto"/>
                <w:sz w:val="20"/>
                <w:szCs w:val="20"/>
              </w:rPr>
              <w:t>2018.</w:t>
            </w:r>
          </w:p>
        </w:tc>
        <w:tc>
          <w:tcPr>
            <w:tcW w:w="1984" w:type="dxa"/>
          </w:tcPr>
          <w:p w14:paraId="563288E3"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227 (38,41%)</w:t>
            </w:r>
          </w:p>
        </w:tc>
        <w:tc>
          <w:tcPr>
            <w:tcW w:w="1985" w:type="dxa"/>
          </w:tcPr>
          <w:p w14:paraId="6BBA48A0"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152 (25,72%)</w:t>
            </w:r>
          </w:p>
        </w:tc>
        <w:tc>
          <w:tcPr>
            <w:tcW w:w="1984" w:type="dxa"/>
          </w:tcPr>
          <w:p w14:paraId="64810BFF"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171 (28,93%)</w:t>
            </w:r>
          </w:p>
        </w:tc>
        <w:tc>
          <w:tcPr>
            <w:tcW w:w="1985" w:type="dxa"/>
          </w:tcPr>
          <w:p w14:paraId="45B628C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121 (28,07%)</w:t>
            </w:r>
          </w:p>
        </w:tc>
      </w:tr>
      <w:tr w:rsidR="005307B5" w:rsidRPr="002E5315" w14:paraId="676A3C39" w14:textId="77777777" w:rsidTr="00756407">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D9E2F3" w:themeFill="accent1" w:themeFillTint="33"/>
          </w:tcPr>
          <w:p w14:paraId="023194B6" w14:textId="77777777" w:rsidR="005307B5" w:rsidRPr="002E5315" w:rsidRDefault="005307B5" w:rsidP="005307B5">
            <w:pPr>
              <w:jc w:val="center"/>
              <w:rPr>
                <w:rFonts w:cs="Arial"/>
                <w:sz w:val="20"/>
                <w:szCs w:val="20"/>
              </w:rPr>
            </w:pPr>
            <w:r w:rsidRPr="002E5315">
              <w:rPr>
                <w:rFonts w:cs="Arial"/>
                <w:color w:val="auto"/>
                <w:sz w:val="20"/>
                <w:szCs w:val="20"/>
              </w:rPr>
              <w:t>2019.</w:t>
            </w:r>
          </w:p>
        </w:tc>
        <w:tc>
          <w:tcPr>
            <w:tcW w:w="1984" w:type="dxa"/>
            <w:shd w:val="clear" w:color="auto" w:fill="D9E2F3" w:themeFill="accent1" w:themeFillTint="33"/>
          </w:tcPr>
          <w:p w14:paraId="4322BD98" w14:textId="7EA4E2EE"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 xml:space="preserve">120 (32,01%) </w:t>
            </w:r>
          </w:p>
        </w:tc>
        <w:tc>
          <w:tcPr>
            <w:tcW w:w="1985" w:type="dxa"/>
            <w:shd w:val="clear" w:color="auto" w:fill="D9E2F3" w:themeFill="accent1" w:themeFillTint="33"/>
          </w:tcPr>
          <w:p w14:paraId="26D041E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139 (36,77%)</w:t>
            </w:r>
          </w:p>
        </w:tc>
        <w:tc>
          <w:tcPr>
            <w:tcW w:w="1984" w:type="dxa"/>
            <w:shd w:val="clear" w:color="auto" w:fill="D9E2F3" w:themeFill="accent1" w:themeFillTint="33"/>
          </w:tcPr>
          <w:p w14:paraId="1E7CB83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90 (24,07%)</w:t>
            </w:r>
          </w:p>
        </w:tc>
        <w:tc>
          <w:tcPr>
            <w:tcW w:w="1985" w:type="dxa"/>
            <w:shd w:val="clear" w:color="auto" w:fill="D9E2F3" w:themeFill="accent1" w:themeFillTint="33"/>
          </w:tcPr>
          <w:p w14:paraId="31B427DE"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180 (35,43%)</w:t>
            </w:r>
          </w:p>
        </w:tc>
      </w:tr>
    </w:tbl>
    <w:p w14:paraId="16A49F91" w14:textId="2EBA3294" w:rsidR="00062EB1" w:rsidRPr="002E5315" w:rsidRDefault="005307B5" w:rsidP="00062EB1">
      <w:pPr>
        <w:shd w:val="clear" w:color="auto" w:fill="FFFFFF" w:themeFill="background1"/>
        <w:spacing w:before="240"/>
        <w:rPr>
          <w:rFonts w:cs="Arial"/>
          <w:szCs w:val="23"/>
        </w:rPr>
      </w:pPr>
      <w:r w:rsidRPr="002E5315">
        <w:rPr>
          <w:rFonts w:cs="Arial"/>
          <w:szCs w:val="23"/>
        </w:rPr>
        <w:t xml:space="preserve">Usporedbom podataka iz 2019. u odnosu na 2018., s jedne strane je vidljivo povećanja broja </w:t>
      </w:r>
      <w:r w:rsidR="00062EB1" w:rsidRPr="002E5315">
        <w:rPr>
          <w:rFonts w:cs="Arial"/>
          <w:szCs w:val="23"/>
        </w:rPr>
        <w:t>poništenih rješenja tijela javne vlasti (60,84 u 2019.</w:t>
      </w:r>
      <w:r w:rsidR="00954DB8" w:rsidRPr="002E5315">
        <w:rPr>
          <w:rFonts w:cs="Arial"/>
          <w:szCs w:val="23"/>
        </w:rPr>
        <w:t xml:space="preserve"> </w:t>
      </w:r>
      <w:r w:rsidR="00062EB1" w:rsidRPr="002E5315">
        <w:rPr>
          <w:rFonts w:cs="Arial"/>
          <w:szCs w:val="23"/>
        </w:rPr>
        <w:t>u odnosu na 54,65% u 2018.</w:t>
      </w:r>
      <w:r w:rsidR="00633D93">
        <w:rPr>
          <w:rFonts w:cs="Arial"/>
          <w:szCs w:val="23"/>
        </w:rPr>
        <w:t>)</w:t>
      </w:r>
      <w:r w:rsidR="00062EB1" w:rsidRPr="002E5315">
        <w:rPr>
          <w:rFonts w:cs="Arial"/>
          <w:szCs w:val="23"/>
        </w:rPr>
        <w:t>, a s druge strane smanjenje broja potvrđenih odluka (32,01% u 2019 u odnosu na 38,41% u 2018.).</w:t>
      </w:r>
    </w:p>
    <w:p w14:paraId="1380CDB5" w14:textId="77777777" w:rsidR="00062EB1" w:rsidRPr="002E5315" w:rsidRDefault="00062EB1" w:rsidP="00062EB1">
      <w:pPr>
        <w:shd w:val="clear" w:color="auto" w:fill="FFFFFF" w:themeFill="background1"/>
        <w:spacing w:before="120"/>
        <w:rPr>
          <w:rFonts w:cs="Arial"/>
          <w:szCs w:val="23"/>
        </w:rPr>
      </w:pPr>
      <w:r w:rsidRPr="002E5315">
        <w:rPr>
          <w:rFonts w:cs="Arial"/>
          <w:szCs w:val="23"/>
        </w:rPr>
        <w:t>U odnosu na predmete šutnje uprave, tijekom 2019. došlo je do povećanja broja rješenja u kojima je tijelima javne vlasti naloženo rješavanje zahtjeva u slučajevima kad tijela javne vlasti nisu riješila zahtjev za pristup informacijama u zakonskim rokovima (35,43% u 2019., u odnosu na 28,07% u 2018.).</w:t>
      </w:r>
    </w:p>
    <w:p w14:paraId="4E4EEF39" w14:textId="77777777" w:rsidR="00633D93" w:rsidRDefault="00062EB1" w:rsidP="00062EB1">
      <w:pPr>
        <w:shd w:val="clear" w:color="auto" w:fill="FFFFFF" w:themeFill="background1"/>
        <w:spacing w:before="120"/>
        <w:rPr>
          <w:rFonts w:cs="Arial"/>
          <w:szCs w:val="23"/>
        </w:rPr>
      </w:pPr>
      <w:r w:rsidRPr="002E5315">
        <w:rPr>
          <w:rFonts w:cs="Arial"/>
          <w:szCs w:val="23"/>
        </w:rPr>
        <w:t>Navedeno upućuje da tijela javna vlasti trebaju uložiti dodatan napor kako bi zahtjeve rješavala u zakonskim rokovima te da izjavljena žalba zbog šutnje uprave bude poticaj da se zahtjev odmah riješi i na taj način izbjegne nalog za donošenje odluke, a samim time i dodatno odlaganje donošenja odluke, a osobito ako se na tu odluku pokrene upravni spor</w:t>
      </w:r>
      <w:r w:rsidR="00633D93">
        <w:rPr>
          <w:rFonts w:cs="Arial"/>
          <w:szCs w:val="23"/>
        </w:rPr>
        <w:t>.</w:t>
      </w:r>
    </w:p>
    <w:p w14:paraId="4B5EBF98" w14:textId="7212979A" w:rsidR="00062EB1" w:rsidRPr="002E5315" w:rsidRDefault="00062EB1" w:rsidP="00062EB1">
      <w:pPr>
        <w:shd w:val="clear" w:color="auto" w:fill="FFFFFF" w:themeFill="background1"/>
        <w:spacing w:before="120"/>
        <w:rPr>
          <w:rFonts w:cs="Arial"/>
          <w:szCs w:val="23"/>
        </w:rPr>
      </w:pPr>
      <w:r w:rsidRPr="002E5315">
        <w:rPr>
          <w:rFonts w:cs="Arial"/>
          <w:szCs w:val="23"/>
        </w:rPr>
        <w:t>S druge strane, ono što može doprinijeti smanjenju broja poništenih odluka, je da se tijela javne vlasti prilikom donošenja odluke, naročito u istovrsnim predmetima, trebaju rukovoditi, osim odredbama ZPPI-ja, odlukama Visokog upravnog suda RH, odlukama Povjerenika te donesenim uputama i smjernicama Povjerenika za provedbu pojedinih zakonskih odredbi ili aspekata primjene ZPPI-ja, što je dostupno na internetskim stranicama Povjerenika, a ne opetovano uskraćivati informacije za koje je prethodno utvrđeno da su javnog karaktera, a koji postupak će rezultirati poništavanjem odluka i opterećivanja kapaciteta Povjerenika i Visokog upravnog suda RH.</w:t>
      </w:r>
    </w:p>
    <w:p w14:paraId="49FB8749" w14:textId="0CE904F6" w:rsidR="005307B5" w:rsidRPr="002E5315" w:rsidRDefault="00062EB1" w:rsidP="00062EB1">
      <w:pPr>
        <w:shd w:val="clear" w:color="auto" w:fill="FFFFFF" w:themeFill="background1"/>
        <w:spacing w:before="120"/>
        <w:rPr>
          <w:rFonts w:cs="Arial"/>
          <w:szCs w:val="23"/>
        </w:rPr>
      </w:pPr>
      <w:r w:rsidRPr="002E5315">
        <w:rPr>
          <w:rFonts w:cs="Arial"/>
          <w:szCs w:val="23"/>
        </w:rPr>
        <w:t>Povjerenik smatra da ponavljanje formalno pravnog postupka u kojem je više nego izvjesno da će biti donesena istovrsna odluka od stane Povjerenika i Visokog upravnog suda RH, predstavlja odugovlačenje postupka s ciljem otežavanja ostvarivanja prava na pristup informacijama te da određene informacije za koje postoji interes nakon završetka svih pravnih postupaka ne budu više aktualne. Kao primjer se mogu navesti istovrsni postupci po zahtjevima za pristup informacijama koji su upućeni HBOR-u u kojima se traže informacije o korisnicima kredita ili Grada Zagreba u kojima se traže informacije o troškovima koji su isplaćeni pojedinim odvjetnicima u određenim vremenskom periodu. Tijela javne vlasti koja zaprimaju istovrsne informacije za koje su u postupku pred Povjerenikom i Visokom upravnim sudom RH ili Vrhovnim sudom RH utvrđeno da su informacije javnog karaktera, bi trebala razmotriti da takve vrste informacije proaktivno objavljuju i time se izbjegnu postupci pred nadležnim tijelima</w:t>
      </w:r>
      <w:r w:rsidR="005307B5" w:rsidRPr="002E5315">
        <w:rPr>
          <w:rFonts w:cs="Arial"/>
          <w:szCs w:val="23"/>
        </w:rPr>
        <w:t>.</w:t>
      </w:r>
    </w:p>
    <w:p w14:paraId="7FFF3844" w14:textId="0D906615" w:rsidR="005307B5" w:rsidRPr="002E5315" w:rsidRDefault="005307B5" w:rsidP="00616625">
      <w:pPr>
        <w:pStyle w:val="Naslov2"/>
      </w:pPr>
      <w:bookmarkStart w:id="23" w:name="_Toc36308928"/>
      <w:r w:rsidRPr="002E5315">
        <w:lastRenderedPageBreak/>
        <w:t xml:space="preserve">Odluke </w:t>
      </w:r>
      <w:r w:rsidR="00990B96" w:rsidRPr="002E5315">
        <w:t>o</w:t>
      </w:r>
      <w:r w:rsidRPr="002E5315">
        <w:t xml:space="preserve"> žalb</w:t>
      </w:r>
      <w:r w:rsidR="00990B96" w:rsidRPr="002E5315">
        <w:t>ama</w:t>
      </w:r>
      <w:r w:rsidRPr="002E5315">
        <w:t xml:space="preserve"> po kategorijama tijela javne vlasti</w:t>
      </w:r>
      <w:bookmarkEnd w:id="23"/>
    </w:p>
    <w:p w14:paraId="7D1E91D2" w14:textId="6D6F7DF2" w:rsidR="005307B5" w:rsidRPr="002E5315" w:rsidRDefault="00062EB1" w:rsidP="005307B5">
      <w:pPr>
        <w:shd w:val="clear" w:color="auto" w:fill="FFFFFF" w:themeFill="background1"/>
        <w:tabs>
          <w:tab w:val="left" w:pos="-1843"/>
        </w:tabs>
        <w:rPr>
          <w:rFonts w:cstheme="minorHAnsi"/>
          <w:szCs w:val="23"/>
        </w:rPr>
      </w:pPr>
      <w:r w:rsidRPr="002E5315">
        <w:rPr>
          <w:rFonts w:cstheme="minorHAnsi"/>
          <w:szCs w:val="23"/>
        </w:rPr>
        <w:t>U nastavku se razmatraju odluke po pojedinim skupinama tijela javne vlasti u žalbenim postupcima, u svezi zahtjeva za pristup informacijama</w:t>
      </w:r>
      <w:r w:rsidR="005307B5" w:rsidRPr="002E5315">
        <w:rPr>
          <w:rFonts w:cstheme="minorHAnsi"/>
          <w:szCs w:val="23"/>
        </w:rPr>
        <w:t>.</w:t>
      </w:r>
    </w:p>
    <w:p w14:paraId="18CD0EB7" w14:textId="1070D2E4" w:rsidR="005307B5" w:rsidRPr="002E5315" w:rsidRDefault="005307B5" w:rsidP="003A188D">
      <w:pPr>
        <w:pStyle w:val="Naslov3"/>
      </w:pPr>
      <w:bookmarkStart w:id="24" w:name="_Toc36308929"/>
      <w:r w:rsidRPr="002E5315">
        <w:t>Državna tijela</w:t>
      </w:r>
      <w:bookmarkEnd w:id="24"/>
    </w:p>
    <w:p w14:paraId="711B579C" w14:textId="77777777" w:rsidR="00062EB1" w:rsidRPr="002E5315" w:rsidRDefault="00062EB1" w:rsidP="00062EB1">
      <w:pPr>
        <w:shd w:val="clear" w:color="auto" w:fill="FFFFFF" w:themeFill="background1"/>
        <w:tabs>
          <w:tab w:val="left" w:pos="-1843"/>
        </w:tabs>
        <w:rPr>
          <w:rFonts w:cstheme="minorHAnsi"/>
          <w:szCs w:val="23"/>
        </w:rPr>
      </w:pPr>
      <w:r w:rsidRPr="002E5315">
        <w:rPr>
          <w:rFonts w:cstheme="minorHAnsi"/>
          <w:szCs w:val="23"/>
        </w:rPr>
        <w:t>U odnosu na državna tijela, tijekom 2019. se postupalo po 41 žalbi, od toga 23 zaprimljene tijekom 2019.</w:t>
      </w:r>
    </w:p>
    <w:p w14:paraId="31FDC99A" w14:textId="77777777" w:rsidR="00633D93" w:rsidRDefault="00062EB1" w:rsidP="00062EB1">
      <w:pPr>
        <w:shd w:val="clear" w:color="auto" w:fill="FFFFFF" w:themeFill="background1"/>
        <w:tabs>
          <w:tab w:val="left" w:pos="-1843"/>
        </w:tabs>
        <w:rPr>
          <w:rFonts w:cstheme="minorHAnsi"/>
          <w:szCs w:val="23"/>
        </w:rPr>
      </w:pPr>
      <w:r w:rsidRPr="002E5315">
        <w:rPr>
          <w:rFonts w:cstheme="minorHAnsi"/>
          <w:szCs w:val="23"/>
        </w:rPr>
        <w:t>Tijekom 2019. niti jedna žalba nije izjavljena u odnosu na postupanje Hrvatskog sabora, kao niti proteklih godina</w:t>
      </w:r>
      <w:r w:rsidR="00633D93">
        <w:rPr>
          <w:rFonts w:cstheme="minorHAnsi"/>
          <w:szCs w:val="23"/>
        </w:rPr>
        <w:t>.</w:t>
      </w:r>
    </w:p>
    <w:p w14:paraId="443233E1" w14:textId="453C3659" w:rsidR="00062EB1" w:rsidRPr="002E5315" w:rsidRDefault="00062EB1" w:rsidP="00062EB1">
      <w:pPr>
        <w:shd w:val="clear" w:color="auto" w:fill="FFFFFF" w:themeFill="background1"/>
        <w:tabs>
          <w:tab w:val="left" w:pos="-1843"/>
        </w:tabs>
        <w:rPr>
          <w:rFonts w:cstheme="minorHAnsi"/>
          <w:szCs w:val="23"/>
        </w:rPr>
      </w:pPr>
      <w:r w:rsidRPr="002E5315">
        <w:rPr>
          <w:rFonts w:cstheme="minorHAnsi"/>
          <w:szCs w:val="23"/>
        </w:rPr>
        <w:t>U odnosu na Ured predsjednice RH, tijekom 2019. rješavano je 6 žalbi, od čega su 4 zaprimljene u 2019., a riješeno je 5 žalbi (83,33%). Postupajući po žalbenim predmetima, Povjerenik je 2 žalbe odbio kao neosnovane, u 2 slučaja je obustavio postupak i u 1 slučaju je naložio rješavanje zahtjeva za pristup informacijama.</w:t>
      </w:r>
    </w:p>
    <w:p w14:paraId="5F5EAE17" w14:textId="77777777" w:rsidR="00633D93" w:rsidRDefault="00062EB1" w:rsidP="00062EB1">
      <w:pPr>
        <w:shd w:val="clear" w:color="auto" w:fill="FFFFFF" w:themeFill="background1"/>
        <w:tabs>
          <w:tab w:val="left" w:pos="-1843"/>
        </w:tabs>
        <w:rPr>
          <w:rFonts w:cstheme="minorHAnsi"/>
          <w:szCs w:val="23"/>
        </w:rPr>
      </w:pPr>
      <w:r w:rsidRPr="002E5315">
        <w:rPr>
          <w:rFonts w:cstheme="minorHAnsi"/>
          <w:szCs w:val="23"/>
        </w:rPr>
        <w:t>U odnosu na odlučivanje Vlade RH u predmetima ostvarivanja prava na pristup informacijama, u radu je bilo 11 žalbi, od čega su tijekom 2019. zaprimljene 4 žalbe, od kojih 2 zbog šutnje uprave i 2 zbog odbijanja zahtjeva za pristup informacijama. Riješeno je svih 11 žalbi (100%) i to na način da je po šutnji uprave, u 3 slučaja naloženo rješavanje zahtjeva te u 2 slučaja obustavljen postupak. U predmetima žalbi na rješenje o odbijanju zahtjeva za pristup informacijama su 4 žalbe odbijene kao neosnovane, a u 1 postupku je poništeno rješenje i omogućen pristup informacijama te je u 1 jednom postupku poništeno rješenje i predmet vraćen na ponovni postupak (zahtjev žalitelja, u vrijeme podnošenja zahtjeva zastupnika u Hrvatskom saboru, kojim su od Vlade RH zatraženi podaci o evidenciji ulaska i izlaska u zgradu Vlade u određenom razdoblju)</w:t>
      </w:r>
      <w:r w:rsidR="00633D93">
        <w:rPr>
          <w:rFonts w:cstheme="minorHAnsi"/>
          <w:szCs w:val="23"/>
        </w:rPr>
        <w:t>.</w:t>
      </w:r>
    </w:p>
    <w:p w14:paraId="0B31E820" w14:textId="702BE78B" w:rsidR="00062EB1" w:rsidRPr="002E5315" w:rsidRDefault="00062EB1" w:rsidP="00062EB1">
      <w:pPr>
        <w:shd w:val="clear" w:color="auto" w:fill="FFFFFF" w:themeFill="background1"/>
        <w:tabs>
          <w:tab w:val="left" w:pos="-1843"/>
        </w:tabs>
        <w:rPr>
          <w:rFonts w:cstheme="minorHAnsi"/>
          <w:szCs w:val="23"/>
        </w:rPr>
      </w:pPr>
      <w:r w:rsidRPr="002E5315">
        <w:rPr>
          <w:rFonts w:cstheme="minorHAnsi"/>
          <w:szCs w:val="23"/>
        </w:rPr>
        <w:t>U odnosu na druga državna tijela tijekom 2019. vodio se postupak po 24 žalbe, od toga 15 zaprimljenih u 2019., a žalbe su izjavljene protiv postupanja Državnog odvjetništva RH (4 žalbi), Hrvatske narodne banke (14 žalbi,), Ustavnog suda RH (3 žalbe), Državnog sudbenog vijeća RH (1 žalb</w:t>
      </w:r>
      <w:r w:rsidR="003B229D">
        <w:rPr>
          <w:rFonts w:cstheme="minorHAnsi"/>
          <w:szCs w:val="23"/>
        </w:rPr>
        <w:t>a</w:t>
      </w:r>
      <w:r w:rsidRPr="002E5315">
        <w:rPr>
          <w:rFonts w:cstheme="minorHAnsi"/>
          <w:szCs w:val="23"/>
        </w:rPr>
        <w:t>) i UVNS-a (1 žalba) i Povjerenstva za odlučivanje o sukobu interesa (1 žalba).</w:t>
      </w:r>
    </w:p>
    <w:p w14:paraId="7D17D1CB" w14:textId="208D4440" w:rsidR="00062EB1" w:rsidRPr="002E5315" w:rsidRDefault="00062EB1" w:rsidP="00062EB1">
      <w:r w:rsidRPr="002E5315">
        <w:t>Od 22 riješene žalbe (91,67%), u 2 slučaja se radilo o šutnji uprave, pri čemu je u 1 predmetu doneseno rješenje o obustavi postupka (Hrvatska narodna banka) i u 1</w:t>
      </w:r>
      <w:r w:rsidR="00954DB8" w:rsidRPr="002E5315">
        <w:t xml:space="preserve"> </w:t>
      </w:r>
      <w:r w:rsidRPr="002E5315">
        <w:t>predmetu odbijena žalba kao neosnovana (Državno odvjetništvo RH).</w:t>
      </w:r>
    </w:p>
    <w:p w14:paraId="41835D12" w14:textId="5A972D82" w:rsidR="00E41146" w:rsidRPr="002E5315" w:rsidRDefault="00062EB1" w:rsidP="00062EB1">
      <w:pPr>
        <w:shd w:val="clear" w:color="auto" w:fill="FFFFFF" w:themeFill="background1"/>
        <w:tabs>
          <w:tab w:val="left" w:pos="-1843"/>
        </w:tabs>
        <w:contextualSpacing/>
      </w:pPr>
      <w:r w:rsidRPr="002E5315">
        <w:t>U preostalih 20 slučajeva, u 12 je doneseno rješenje kojim su potvrđena rješenja prvostupanjskog tijela, i to: Hrvatske narodne banke (8), Državnog odvjetništva RH (2),</w:t>
      </w:r>
      <w:r w:rsidR="00954DB8" w:rsidRPr="002E5315">
        <w:t xml:space="preserve"> </w:t>
      </w:r>
      <w:r w:rsidRPr="002E5315">
        <w:t>UVNS-a (1), te</w:t>
      </w:r>
      <w:r w:rsidR="00954DB8" w:rsidRPr="002E5315">
        <w:t xml:space="preserve"> </w:t>
      </w:r>
      <w:r w:rsidRPr="002E5315">
        <w:t xml:space="preserve">Ustavnog suda RH (1). Osim toga, doneseno je 6 rješenja kojima je poništeno rješenje i omogućen pristup informacijama i to: Hrvatske narodne banke (3) Ustavnog suda RH (2), Povjerenstva za odlučivanje o sukobu interesa (1) Također, u 1 slučaju HNB-a je predmet vraćen na ponovni postupak te je </w:t>
      </w:r>
      <w:r w:rsidR="00621B92">
        <w:t xml:space="preserve">u </w:t>
      </w:r>
      <w:r w:rsidRPr="002E5315">
        <w:t>1 predmetu odbačena žalba izjavljena protiv rješenja Državnog sudbenog vijeća</w:t>
      </w:r>
      <w:r w:rsidR="00E41146" w:rsidRPr="002E5315">
        <w:t>.</w:t>
      </w:r>
    </w:p>
    <w:p w14:paraId="1228D52B" w14:textId="77777777" w:rsidR="00E41146" w:rsidRPr="002E5315" w:rsidRDefault="00E41146">
      <w:pPr>
        <w:spacing w:after="0" w:line="240" w:lineRule="auto"/>
        <w:jc w:val="left"/>
      </w:pPr>
      <w:r w:rsidRPr="002E5315">
        <w:br w:type="page"/>
      </w:r>
    </w:p>
    <w:p w14:paraId="32874710" w14:textId="0639C2D1" w:rsidR="005307B5" w:rsidRPr="002E5315" w:rsidRDefault="005307B5" w:rsidP="003A188D">
      <w:pPr>
        <w:pStyle w:val="Naslov3"/>
      </w:pPr>
      <w:bookmarkStart w:id="25" w:name="_Toc36308930"/>
      <w:r w:rsidRPr="002E5315">
        <w:lastRenderedPageBreak/>
        <w:t>Tijela državne uprave</w:t>
      </w:r>
      <w:bookmarkEnd w:id="25"/>
    </w:p>
    <w:p w14:paraId="75AA031C" w14:textId="77777777" w:rsidR="00633D93" w:rsidRDefault="00C4267F" w:rsidP="00C4267F">
      <w:pPr>
        <w:shd w:val="clear" w:color="auto" w:fill="FFFFFF" w:themeFill="background1"/>
        <w:tabs>
          <w:tab w:val="left" w:pos="-1843"/>
        </w:tabs>
        <w:rPr>
          <w:rFonts w:cstheme="minorBidi"/>
          <w:szCs w:val="23"/>
        </w:rPr>
      </w:pPr>
      <w:r w:rsidRPr="002E5315">
        <w:rPr>
          <w:rFonts w:cstheme="minorBidi"/>
          <w:szCs w:val="23"/>
        </w:rPr>
        <w:t>Povjerenik je tijekom 2019. zaprimio 130 žalbi upućenih tijelima državne uprave, što predstavlja smanjenje u odnosu na 2018. kada ih je zaprimljeno 177 (17,52%). U odnosu na zahtjeve za pristup informacijama koji su upućeni tijelima države uprave, Povjerenik je imao u radu ukupno 175 žalbi, od čega 73 žalbe na odbijajuća rješenja, 86 zbog šutnje uprave, 14 na rješenja o odbacivanju zahtjeva te 2 na rješenja kojima je odlučeno o prigovoru na obavijest</w:t>
      </w:r>
      <w:r w:rsidR="00633D93">
        <w:rPr>
          <w:rFonts w:cstheme="minorBidi"/>
          <w:szCs w:val="23"/>
        </w:rPr>
        <w:t>.</w:t>
      </w:r>
    </w:p>
    <w:p w14:paraId="28FE3086" w14:textId="4E498617" w:rsidR="00C4267F" w:rsidRPr="002E5315" w:rsidRDefault="00C4267F" w:rsidP="00C4267F">
      <w:pPr>
        <w:shd w:val="clear" w:color="auto" w:fill="FFFFFF" w:themeFill="background1"/>
        <w:tabs>
          <w:tab w:val="left" w:pos="-1843"/>
        </w:tabs>
        <w:rPr>
          <w:rFonts w:cstheme="minorBidi"/>
          <w:szCs w:val="23"/>
        </w:rPr>
      </w:pPr>
      <w:r w:rsidRPr="002E5315">
        <w:rPr>
          <w:rFonts w:cstheme="minorBidi"/>
          <w:szCs w:val="23"/>
        </w:rPr>
        <w:t>Od 175 žalbi, riješene su 134 (76,60%) žalbe.</w:t>
      </w:r>
      <w:r w:rsidR="00954DB8" w:rsidRPr="002E5315">
        <w:rPr>
          <w:rFonts w:cstheme="minorBidi"/>
          <w:szCs w:val="23"/>
        </w:rPr>
        <w:t xml:space="preserve"> </w:t>
      </w:r>
      <w:r w:rsidRPr="002E5315">
        <w:rPr>
          <w:rFonts w:cstheme="minorBidi"/>
          <w:szCs w:val="23"/>
        </w:rPr>
        <w:t>U 80 riješenih</w:t>
      </w:r>
      <w:r w:rsidR="00954DB8" w:rsidRPr="002E5315">
        <w:rPr>
          <w:rFonts w:cstheme="minorBidi"/>
          <w:szCs w:val="23"/>
        </w:rPr>
        <w:t xml:space="preserve"> </w:t>
      </w:r>
      <w:r w:rsidRPr="002E5315">
        <w:rPr>
          <w:rFonts w:cstheme="minorBidi"/>
          <w:szCs w:val="23"/>
        </w:rPr>
        <w:t>žalbi koje se odnose na šutnju uprave, doneseno je 19 (23,75%) rješenja kojima je odbačena žalba, 20 (25%) rješenja kojima je naloženo rješavanje zahtjeva, 34 (42,50%) rješenja o obustavi postupka te 7 (8,75%) rješenja o odbijanju.</w:t>
      </w:r>
    </w:p>
    <w:p w14:paraId="1E0A2133" w14:textId="77777777" w:rsidR="00633D93" w:rsidRDefault="00C4267F" w:rsidP="00C4267F">
      <w:pPr>
        <w:shd w:val="clear" w:color="auto" w:fill="FFFFFF" w:themeFill="background1"/>
        <w:rPr>
          <w:rFonts w:cstheme="minorBidi"/>
          <w:szCs w:val="23"/>
        </w:rPr>
      </w:pPr>
      <w:r w:rsidRPr="002E5315">
        <w:rPr>
          <w:rFonts w:cstheme="minorBidi"/>
          <w:szCs w:val="23"/>
        </w:rPr>
        <w:t>Tijekom 2019. su riješene 53 žalbe na odbijajuća rješenja ili rješenja o odbacivanju zahtjeva, na način da je u 17 (32,08%) slučajeva utvrđeno da su tijela državne uprave pravilno i zakonito riješila predmet te je žalba odbijena kao neosnovana i potvrđena su rješenja tijela državne uprave</w:t>
      </w:r>
      <w:r w:rsidR="00633D93">
        <w:rPr>
          <w:rFonts w:cstheme="minorBidi"/>
          <w:szCs w:val="23"/>
        </w:rPr>
        <w:t>.</w:t>
      </w:r>
    </w:p>
    <w:p w14:paraId="00527E4E" w14:textId="16463273" w:rsidR="00C4267F" w:rsidRPr="002E5315" w:rsidRDefault="00C4267F" w:rsidP="00C4267F">
      <w:pPr>
        <w:shd w:val="clear" w:color="auto" w:fill="FFFFFF" w:themeFill="background1"/>
        <w:tabs>
          <w:tab w:val="left" w:pos="-1843"/>
        </w:tabs>
        <w:rPr>
          <w:rFonts w:cstheme="minorBidi"/>
          <w:szCs w:val="23"/>
        </w:rPr>
      </w:pPr>
      <w:r w:rsidRPr="002E5315">
        <w:rPr>
          <w:rFonts w:cstheme="minorBidi"/>
          <w:szCs w:val="23"/>
        </w:rPr>
        <w:t>U 34 (64,15%) slučaja, utvrđeno je da su rješenja tijela državne uprave nezakonita te su ista poništena i to na način da je Povjerenik omogućio žalitelju pristup informaciji u 23 žalbena slučaja, a</w:t>
      </w:r>
      <w:r w:rsidR="00954DB8" w:rsidRPr="002E5315">
        <w:rPr>
          <w:rFonts w:cstheme="minorBidi"/>
          <w:szCs w:val="23"/>
        </w:rPr>
        <w:t xml:space="preserve"> </w:t>
      </w:r>
      <w:r w:rsidRPr="002E5315">
        <w:rPr>
          <w:rFonts w:cstheme="minorBidi"/>
          <w:szCs w:val="23"/>
        </w:rPr>
        <w:t>u 11 žalbenih predmeta rješenje je poništeno i vraćeno na ponovni postupak. U</w:t>
      </w:r>
      <w:r w:rsidR="00954DB8" w:rsidRPr="002E5315">
        <w:rPr>
          <w:rFonts w:cstheme="minorBidi"/>
          <w:szCs w:val="23"/>
        </w:rPr>
        <w:t xml:space="preserve"> </w:t>
      </w:r>
      <w:r w:rsidRPr="002E5315">
        <w:rPr>
          <w:rFonts w:cstheme="minorBidi"/>
          <w:szCs w:val="23"/>
        </w:rPr>
        <w:t>2 slučaja je doneseno rješenje o obustavi postupka.</w:t>
      </w:r>
    </w:p>
    <w:p w14:paraId="260E3652" w14:textId="77777777" w:rsidR="00633D93" w:rsidRDefault="00C4267F" w:rsidP="00C4267F">
      <w:pPr>
        <w:shd w:val="clear" w:color="auto" w:fill="FFFFFF" w:themeFill="background1"/>
        <w:rPr>
          <w:rFonts w:cstheme="minorBidi"/>
          <w:szCs w:val="23"/>
        </w:rPr>
      </w:pPr>
      <w:r w:rsidRPr="002E5315">
        <w:rPr>
          <w:rFonts w:cstheme="minorBidi"/>
          <w:szCs w:val="23"/>
        </w:rPr>
        <w:t>U odnosu na rješenja na prigovore, doneseno je 1 rješenje kojim je odbijena žalba kao neosnovana, i to u slučaju Ministarstva znanosti i obrazovanja</w:t>
      </w:r>
      <w:r w:rsidR="00633D93">
        <w:rPr>
          <w:rFonts w:cstheme="minorBidi"/>
          <w:szCs w:val="23"/>
        </w:rPr>
        <w:t>.</w:t>
      </w:r>
    </w:p>
    <w:p w14:paraId="55F540E0" w14:textId="77777777" w:rsidR="00633D93" w:rsidRDefault="00C4267F" w:rsidP="00C4267F">
      <w:pPr>
        <w:shd w:val="clear" w:color="auto" w:fill="FFFFFF" w:themeFill="background1"/>
        <w:rPr>
          <w:rFonts w:cstheme="minorHAnsi"/>
          <w:szCs w:val="23"/>
        </w:rPr>
      </w:pPr>
      <w:r w:rsidRPr="002E5315">
        <w:rPr>
          <w:rFonts w:cstheme="minorHAnsi"/>
          <w:color w:val="000000" w:themeColor="text1"/>
          <w:szCs w:val="23"/>
        </w:rPr>
        <w:t xml:space="preserve">Tijela državne uprave i dalje učestalo kasne s rješavanjem </w:t>
      </w:r>
      <w:r w:rsidRPr="002E5315">
        <w:rPr>
          <w:rFonts w:cstheme="minorHAnsi"/>
          <w:szCs w:val="23"/>
        </w:rPr>
        <w:t xml:space="preserve">predmeta i tako iniciraju </w:t>
      </w:r>
      <w:r w:rsidRPr="002E5315">
        <w:rPr>
          <w:rFonts w:cstheme="minorHAnsi"/>
          <w:color w:val="000000" w:themeColor="text1"/>
          <w:szCs w:val="23"/>
        </w:rPr>
        <w:t>podnošenje žalbi zbog šutnje uprave te je u odnosu na prošl</w:t>
      </w:r>
      <w:r w:rsidR="00621B92">
        <w:rPr>
          <w:rFonts w:cstheme="minorHAnsi"/>
          <w:color w:val="000000" w:themeColor="text1"/>
          <w:szCs w:val="23"/>
        </w:rPr>
        <w:t>o</w:t>
      </w:r>
      <w:r w:rsidRPr="002E5315">
        <w:rPr>
          <w:rFonts w:cstheme="minorHAnsi"/>
          <w:color w:val="000000" w:themeColor="text1"/>
          <w:szCs w:val="23"/>
        </w:rPr>
        <w:t xml:space="preserve"> izvještajno razdoblje donesen veći broj naloga za rješavanje </w:t>
      </w:r>
      <w:r w:rsidRPr="002E5315">
        <w:rPr>
          <w:rFonts w:cstheme="minorHAnsi"/>
          <w:szCs w:val="23"/>
        </w:rPr>
        <w:t>zahtjeva (20 ili 25% u 2019. u odnosu na 13 ili 13,98 % u 2018.)</w:t>
      </w:r>
      <w:r w:rsidR="00633D93">
        <w:rPr>
          <w:rFonts w:cstheme="minorHAnsi"/>
          <w:szCs w:val="23"/>
        </w:rPr>
        <w:t>.</w:t>
      </w:r>
    </w:p>
    <w:p w14:paraId="71C2E14B" w14:textId="0A46B75E" w:rsidR="00C4267F" w:rsidRPr="002E5315" w:rsidRDefault="00C4267F" w:rsidP="00C4267F">
      <w:pPr>
        <w:shd w:val="clear" w:color="auto" w:fill="FFFFFF" w:themeFill="background1"/>
        <w:rPr>
          <w:rFonts w:cstheme="minorHAnsi"/>
          <w:color w:val="000000" w:themeColor="text1"/>
          <w:szCs w:val="23"/>
        </w:rPr>
      </w:pPr>
      <w:r w:rsidRPr="002E5315">
        <w:rPr>
          <w:rFonts w:cstheme="minorHAnsi"/>
          <w:color w:val="000000" w:themeColor="text1"/>
          <w:szCs w:val="23"/>
        </w:rPr>
        <w:t xml:space="preserve">Za istaknuti je da je Povjerenik utvrdio da </w:t>
      </w:r>
      <w:r w:rsidRPr="002E5315">
        <w:rPr>
          <w:rFonts w:cstheme="minorHAnsi"/>
          <w:b/>
          <w:color w:val="000000" w:themeColor="text1"/>
          <w:szCs w:val="23"/>
        </w:rPr>
        <w:t>u 64,15% slučajeva uskrate pristupa informacijama, odluke tijela državne uprave nisu u skladu sa odredbama ZPPI-ja</w:t>
      </w:r>
      <w:r w:rsidRPr="002E5315">
        <w:rPr>
          <w:rFonts w:cstheme="minorHAnsi"/>
          <w:color w:val="000000" w:themeColor="text1"/>
          <w:szCs w:val="23"/>
        </w:rPr>
        <w:t xml:space="preserve"> te je rješenje poništeno i naloženo omogućavanje pristupa informaciji ili je predmet vraćen na ponovni postupak tako da i nadalje ostaje veliki broj poništenih odluka.</w:t>
      </w:r>
    </w:p>
    <w:p w14:paraId="3DB13E8A" w14:textId="5C49E6E4" w:rsidR="005307B5" w:rsidRPr="002E5315" w:rsidRDefault="00C4267F" w:rsidP="00C4267F">
      <w:pPr>
        <w:shd w:val="clear" w:color="auto" w:fill="FFFFFF" w:themeFill="background1"/>
        <w:rPr>
          <w:rFonts w:cstheme="minorHAnsi"/>
          <w:color w:val="000000" w:themeColor="text1"/>
          <w:szCs w:val="23"/>
        </w:rPr>
      </w:pPr>
      <w:r w:rsidRPr="002E5315">
        <w:rPr>
          <w:rFonts w:cstheme="minorHAnsi"/>
          <w:color w:val="000000" w:themeColor="text1"/>
          <w:szCs w:val="23"/>
        </w:rPr>
        <w:t>Za popravljanje nastale situacije potrebno je više pažnje pokloniti organizaciji rada, unutarnjoj koordinaciji u tijelima državne uprave koja zbog tih nedostataka, ali i čestih promjena službenika za informiranje, uglavnom ne uspijevaju riješiti zahtjeve na vrijeme te dodatnoj edukaciji kako bi se smanjio broj poništenih rješenja</w:t>
      </w:r>
      <w:r w:rsidR="005307B5" w:rsidRPr="002E5315">
        <w:rPr>
          <w:rFonts w:cstheme="minorHAnsi"/>
          <w:color w:val="000000" w:themeColor="text1"/>
          <w:szCs w:val="23"/>
        </w:rPr>
        <w:t>.</w:t>
      </w:r>
    </w:p>
    <w:p w14:paraId="53B9061A" w14:textId="77777777" w:rsidR="005307B5" w:rsidRPr="002E5315" w:rsidRDefault="005307B5" w:rsidP="003A188D">
      <w:pPr>
        <w:pStyle w:val="Naslov3"/>
      </w:pPr>
      <w:bookmarkStart w:id="26" w:name="_Toc36308931"/>
      <w:r w:rsidRPr="002E5315">
        <w:rPr>
          <w:color w:val="000000" w:themeColor="text1"/>
        </w:rPr>
        <w:t>O</w:t>
      </w:r>
      <w:r w:rsidRPr="002E5315">
        <w:t>pćine, gradovi i županije</w:t>
      </w:r>
      <w:bookmarkEnd w:id="26"/>
    </w:p>
    <w:p w14:paraId="5F802DBF" w14:textId="499DEAA4" w:rsidR="00FA159F" w:rsidRPr="002E5315" w:rsidRDefault="00FA159F" w:rsidP="00FA159F">
      <w:pPr>
        <w:shd w:val="clear" w:color="auto" w:fill="FFFFFF" w:themeFill="background1"/>
        <w:rPr>
          <w:rFonts w:cstheme="minorHAnsi"/>
          <w:color w:val="000000" w:themeColor="text1"/>
          <w:szCs w:val="23"/>
        </w:rPr>
      </w:pPr>
      <w:r w:rsidRPr="002E5315">
        <w:rPr>
          <w:rFonts w:cstheme="minorHAnsi"/>
          <w:color w:val="000000" w:themeColor="text1"/>
          <w:szCs w:val="23"/>
        </w:rPr>
        <w:t>Povjerenik je tijekom 2019. zaprimio 205 žalbi u odnosu na zahtjeve za pristup informacijama koji su upućeni JLP(R)S, a zajedno s prenesenim žalbama iz prethodnog perioda je imao u rješavanju</w:t>
      </w:r>
      <w:r w:rsidR="00954DB8" w:rsidRPr="002E5315">
        <w:rPr>
          <w:rFonts w:cstheme="minorHAnsi"/>
          <w:color w:val="000000" w:themeColor="text1"/>
          <w:szCs w:val="23"/>
        </w:rPr>
        <w:t xml:space="preserve"> </w:t>
      </w:r>
      <w:r w:rsidRPr="002E5315">
        <w:rPr>
          <w:rFonts w:cstheme="minorHAnsi"/>
          <w:color w:val="000000" w:themeColor="text1"/>
          <w:szCs w:val="23"/>
        </w:rPr>
        <w:t>275 žalbi, od kojih je riješeno 214 ili 77,81%.</w:t>
      </w:r>
    </w:p>
    <w:p w14:paraId="30B0DFF8" w14:textId="77777777" w:rsidR="00633D93" w:rsidRDefault="00FA159F" w:rsidP="00FA159F">
      <w:pPr>
        <w:shd w:val="clear" w:color="auto" w:fill="FFFFFF" w:themeFill="background1"/>
        <w:rPr>
          <w:rFonts w:cstheme="minorHAnsi"/>
          <w:szCs w:val="23"/>
        </w:rPr>
      </w:pPr>
      <w:r w:rsidRPr="002E5315">
        <w:rPr>
          <w:rFonts w:cstheme="minorHAnsi"/>
          <w:color w:val="000000" w:themeColor="text1"/>
          <w:szCs w:val="23"/>
        </w:rPr>
        <w:t xml:space="preserve">Riješene su 154 </w:t>
      </w:r>
      <w:r w:rsidRPr="002E5315">
        <w:rPr>
          <w:rFonts w:cstheme="minorHAnsi"/>
          <w:szCs w:val="23"/>
        </w:rPr>
        <w:t>žalbe zbog šutnje uprave, od kojih su u 29 (18,83%) slučajeva te žalbe bile nedopuštene, u 15 (9,74%) neosnovane, a u 51 (33,12%) je, usprkos činjenici vođenja žalbenog postupka zbog šutnje, Povjerenik naložio rješavanje zahtjeva, dok je u 59 (38,31%) slučajeva zahtjev u međuvremenu riješen te je postupak obustavljen</w:t>
      </w:r>
      <w:r w:rsidR="00633D93">
        <w:rPr>
          <w:rFonts w:cstheme="minorHAnsi"/>
          <w:szCs w:val="23"/>
        </w:rPr>
        <w:t>.</w:t>
      </w:r>
    </w:p>
    <w:p w14:paraId="53B90D0E" w14:textId="3CC6C643" w:rsidR="00FA159F" w:rsidRPr="002E5315" w:rsidRDefault="00FA159F" w:rsidP="00FA159F">
      <w:pPr>
        <w:shd w:val="clear" w:color="auto" w:fill="FFFFFF" w:themeFill="background1"/>
        <w:rPr>
          <w:rFonts w:cstheme="minorHAnsi"/>
          <w:szCs w:val="23"/>
        </w:rPr>
      </w:pPr>
      <w:r w:rsidRPr="002E5315">
        <w:rPr>
          <w:rFonts w:cstheme="minorHAnsi"/>
          <w:szCs w:val="23"/>
        </w:rPr>
        <w:lastRenderedPageBreak/>
        <w:t>U odnosu na postupanja JLP(R)S tijekom 2019., u 59 (38,31%) slučajeva šutnje uprave samo podnošenje žalbe bio je poticaj da se riješi zahtjev za pristup informacijama, dok je u jednoj trećini slučajeva (33,12%) po žalbi zbog šutnje uprave usprkos izjavljivanju žalbe Povjereniku, JLP(R)S i dalje ignorira zahtjeve, tako da je Povjerenik morao naložiti rješavanje zahtjeva.</w:t>
      </w:r>
    </w:p>
    <w:p w14:paraId="7D36C59F" w14:textId="77777777" w:rsidR="00FA159F" w:rsidRPr="002E5315" w:rsidRDefault="00FA159F" w:rsidP="00FA159F">
      <w:pPr>
        <w:shd w:val="clear" w:color="auto" w:fill="FFFFFF" w:themeFill="background1"/>
        <w:rPr>
          <w:rFonts w:cstheme="minorHAnsi"/>
          <w:szCs w:val="23"/>
        </w:rPr>
      </w:pPr>
      <w:r w:rsidRPr="002E5315">
        <w:rPr>
          <w:rFonts w:cstheme="minorHAnsi"/>
          <w:color w:val="000000" w:themeColor="text1"/>
          <w:szCs w:val="23"/>
        </w:rPr>
        <w:t xml:space="preserve">U odnosu </w:t>
      </w:r>
      <w:r w:rsidRPr="002E5315">
        <w:rPr>
          <w:rFonts w:cstheme="minorHAnsi"/>
          <w:szCs w:val="23"/>
        </w:rPr>
        <w:t xml:space="preserve">na odbijajuća rješenja ili rješenja o odbacivanju zahtjeva za pristup informacijama, riješeno je 60 žalbi. Rješavajući žalbe zbog toga što je pristup informaciji uskraćen ili je odbačen iz ZPPI-jem propisanih razloga, utvrđeno je da su JLP(R)S pravilno i zakonito riješile 19 (31,67%) predmeta. </w:t>
      </w:r>
      <w:r w:rsidRPr="002E5315">
        <w:rPr>
          <w:szCs w:val="23"/>
        </w:rPr>
        <w:t xml:space="preserve">U 36 slučajeva (60%) utvrđeno je da su rješenja JLP(R)S nezakonita te su ista poništena, i to na način da je Povjerenik omogućio žalitelju pristup informaciji u 13 slučajeva, a u 23 poništio i vratio na ponovni postupak, u 2 (3,33%) predmeta je žalba odbačena, u 1 (1,67%) slučaju je postupak obustavljen i u 2 (3.33%) slučaja je </w:t>
      </w:r>
      <w:r w:rsidRPr="002E5315">
        <w:rPr>
          <w:rFonts w:cstheme="minorHAnsi"/>
          <w:szCs w:val="23"/>
        </w:rPr>
        <w:t>prvostupanjsko tijelo samo riješilo žalbu po članku 113. ZUP-a.</w:t>
      </w:r>
    </w:p>
    <w:p w14:paraId="14C3A4E0" w14:textId="77777777" w:rsidR="00633D93" w:rsidRDefault="00FA159F" w:rsidP="00FA159F">
      <w:pPr>
        <w:shd w:val="clear" w:color="auto" w:fill="FFFFFF" w:themeFill="background1"/>
        <w:rPr>
          <w:rFonts w:cstheme="minorHAnsi"/>
          <w:color w:val="000000" w:themeColor="text1"/>
          <w:szCs w:val="23"/>
        </w:rPr>
      </w:pPr>
      <w:r w:rsidRPr="002E5315">
        <w:rPr>
          <w:rFonts w:cstheme="minorHAnsi"/>
          <w:szCs w:val="23"/>
        </w:rPr>
        <w:t xml:space="preserve">Ukratko, kad se radi o </w:t>
      </w:r>
      <w:r w:rsidRPr="002E5315">
        <w:rPr>
          <w:rFonts w:cstheme="minorHAnsi"/>
          <w:b/>
          <w:bCs/>
          <w:szCs w:val="23"/>
        </w:rPr>
        <w:t>rješavanju zahtjeva</w:t>
      </w:r>
      <w:r w:rsidRPr="002E5315">
        <w:rPr>
          <w:rFonts w:cstheme="minorHAnsi"/>
          <w:b/>
          <w:szCs w:val="23"/>
        </w:rPr>
        <w:t xml:space="preserve"> od strane JLP(R)S, Povjerenik je nalazio da je to odlučivanje nezakonito u 60% slučajeva</w:t>
      </w:r>
      <w:r w:rsidRPr="002E5315">
        <w:rPr>
          <w:rFonts w:cstheme="minorHAnsi"/>
          <w:szCs w:val="23"/>
        </w:rPr>
        <w:t xml:space="preserve">, odnosno da, u slučaju žalbe zbog šutnje uprave, JLP(R)S i dalje u više od jedne trećine slučajeva (33,12%) ne donose odluku dok ih na to formalno ne obveže Povjerenik, čime znatno otežavaju pristup informaciji odugovlačenjem </w:t>
      </w:r>
      <w:r w:rsidRPr="002E5315">
        <w:rPr>
          <w:rFonts w:cstheme="minorHAnsi"/>
          <w:color w:val="000000" w:themeColor="text1"/>
          <w:szCs w:val="23"/>
        </w:rPr>
        <w:t>postupka</w:t>
      </w:r>
      <w:r w:rsidR="00633D93">
        <w:rPr>
          <w:rFonts w:cstheme="minorHAnsi"/>
          <w:color w:val="000000" w:themeColor="text1"/>
          <w:szCs w:val="23"/>
        </w:rPr>
        <w:t>.</w:t>
      </w:r>
    </w:p>
    <w:p w14:paraId="759B3425" w14:textId="77777777" w:rsidR="00633D93" w:rsidRDefault="00FA159F" w:rsidP="00FA159F">
      <w:pPr>
        <w:shd w:val="clear" w:color="auto" w:fill="FFFFFF" w:themeFill="background1"/>
        <w:rPr>
          <w:rFonts w:cstheme="minorHAnsi"/>
          <w:szCs w:val="23"/>
        </w:rPr>
      </w:pPr>
      <w:r w:rsidRPr="002E5315">
        <w:rPr>
          <w:rFonts w:cstheme="minorHAnsi"/>
          <w:color w:val="000000" w:themeColor="text1"/>
          <w:szCs w:val="23"/>
        </w:rPr>
        <w:t xml:space="preserve">Na lokalnoj razini se uzrok problema u ostvarivanju prava na pristup informacijama može pronaći i u slabim kapacitetima lokalnih jedinica, slabom poznavanju propisa i needuciranosti službenika, </w:t>
      </w:r>
      <w:r w:rsidRPr="002E5315">
        <w:rPr>
          <w:rFonts w:cstheme="minorHAnsi"/>
          <w:szCs w:val="23"/>
        </w:rPr>
        <w:t>ali i pretpostav</w:t>
      </w:r>
      <w:r w:rsidR="00DF700A">
        <w:rPr>
          <w:rFonts w:cstheme="minorHAnsi"/>
          <w:szCs w:val="23"/>
        </w:rPr>
        <w:t>ci</w:t>
      </w:r>
      <w:r w:rsidRPr="002E5315">
        <w:rPr>
          <w:rFonts w:cstheme="minorHAnsi"/>
          <w:szCs w:val="23"/>
        </w:rPr>
        <w:t xml:space="preserve"> da je dio predmeta potaknut iz osobnih razloga između korisnika i čelnika tijela javne vlasti</w:t>
      </w:r>
      <w:r w:rsidR="00633D93">
        <w:rPr>
          <w:rFonts w:cstheme="minorHAnsi"/>
          <w:szCs w:val="23"/>
        </w:rPr>
        <w:t>.</w:t>
      </w:r>
    </w:p>
    <w:p w14:paraId="3DAD6540" w14:textId="3098EBCF" w:rsidR="005307B5" w:rsidRPr="002E5315" w:rsidRDefault="00FA159F" w:rsidP="00FA159F">
      <w:pPr>
        <w:shd w:val="clear" w:color="auto" w:fill="FFFFFF" w:themeFill="background1"/>
        <w:rPr>
          <w:rFonts w:cstheme="minorHAnsi"/>
          <w:szCs w:val="23"/>
        </w:rPr>
      </w:pPr>
      <w:r w:rsidRPr="002E5315">
        <w:rPr>
          <w:rFonts w:cstheme="minorHAnsi"/>
          <w:szCs w:val="23"/>
        </w:rPr>
        <w:t xml:space="preserve">Kod JLP(R)S-a je posebno izražen problem nepostupanja po nalozima Povjerenika. Kako je </w:t>
      </w:r>
      <w:r w:rsidRPr="002E5315">
        <w:rPr>
          <w:rFonts w:cstheme="minorHAnsi"/>
          <w:bCs/>
          <w:szCs w:val="23"/>
        </w:rPr>
        <w:t>Visoki upravni sud RH zauzeo stav da rješenja o nalaganju rješavanja zahtjeva nisu pogodna za izvršenje, kontinuirano nepostupanje po nalogu moguće je sankcionirati</w:t>
      </w:r>
      <w:r w:rsidRPr="002E5315">
        <w:rPr>
          <w:rFonts w:cstheme="minorHAnsi"/>
          <w:szCs w:val="23"/>
        </w:rPr>
        <w:t xml:space="preserve"> pokretanjem prekršajnog postupka</w:t>
      </w:r>
      <w:r w:rsidR="005307B5" w:rsidRPr="002E5315">
        <w:rPr>
          <w:rFonts w:cstheme="minorHAnsi"/>
          <w:szCs w:val="23"/>
        </w:rPr>
        <w:t>.</w:t>
      </w:r>
    </w:p>
    <w:p w14:paraId="40122157" w14:textId="77777777" w:rsidR="005307B5" w:rsidRPr="002E5315" w:rsidRDefault="005307B5" w:rsidP="003A188D">
      <w:pPr>
        <w:pStyle w:val="Naslov3"/>
      </w:pPr>
      <w:bookmarkStart w:id="27" w:name="_Toc36308932"/>
      <w:r w:rsidRPr="002E5315">
        <w:t>Pravosudna tijela</w:t>
      </w:r>
      <w:bookmarkEnd w:id="27"/>
    </w:p>
    <w:p w14:paraId="63E8DFED" w14:textId="46C17C77" w:rsidR="00FA159F" w:rsidRPr="002E5315" w:rsidRDefault="00FA159F" w:rsidP="00FA159F">
      <w:pPr>
        <w:shd w:val="clear" w:color="auto" w:fill="FFFFFF" w:themeFill="background1"/>
        <w:tabs>
          <w:tab w:val="left" w:pos="-1843"/>
        </w:tabs>
        <w:rPr>
          <w:rFonts w:cstheme="minorBidi"/>
          <w:szCs w:val="23"/>
        </w:rPr>
      </w:pPr>
      <w:r w:rsidRPr="002E5315">
        <w:rPr>
          <w:rFonts w:cstheme="minorBidi"/>
          <w:szCs w:val="23"/>
        </w:rPr>
        <w:t>U odnosu na žalbe upućene pravosudnim tijelima, tijekom 2019. je zaprimljeno 58 žalbi, dok su ukupno u radu bile 72 žalbe, od toga 20 na odbijajuća rješenja, 5 na rješenja o odbacivanju zahtjeva, 29 zbog šutnje uprave.</w:t>
      </w:r>
    </w:p>
    <w:p w14:paraId="77E3614F" w14:textId="7FDE5F50" w:rsidR="00FA159F" w:rsidRPr="002E5315" w:rsidRDefault="00FA159F" w:rsidP="00FA159F">
      <w:pPr>
        <w:shd w:val="clear" w:color="auto" w:fill="FFFFFF" w:themeFill="background1"/>
        <w:tabs>
          <w:tab w:val="left" w:pos="-1843"/>
        </w:tabs>
        <w:rPr>
          <w:rFonts w:cstheme="minorBidi"/>
          <w:szCs w:val="23"/>
        </w:rPr>
      </w:pPr>
      <w:r w:rsidRPr="002E5315">
        <w:rPr>
          <w:rFonts w:cstheme="minorBidi"/>
          <w:szCs w:val="23"/>
        </w:rPr>
        <w:t>Od 72 žalbe riješene su 54 (75%). U 29 žalbi povodom šutnje uprave, doneseno je 5 (17,24%) rješenja kojima je odbačena žalba, 8</w:t>
      </w:r>
      <w:r w:rsidR="00954DB8" w:rsidRPr="002E5315">
        <w:rPr>
          <w:rFonts w:cstheme="minorBidi"/>
          <w:szCs w:val="23"/>
        </w:rPr>
        <w:t xml:space="preserve"> </w:t>
      </w:r>
      <w:r w:rsidRPr="002E5315">
        <w:rPr>
          <w:rFonts w:cstheme="minorBidi"/>
          <w:szCs w:val="23"/>
        </w:rPr>
        <w:t>(27,59%) rješenja kojima je naloženo rješavanje zahtjeva te 16 (55,17%) rješenja o obustavi postupka.</w:t>
      </w:r>
    </w:p>
    <w:p w14:paraId="69190836" w14:textId="07D0CD22" w:rsidR="00FA159F" w:rsidRPr="002E5315" w:rsidRDefault="00FA159F" w:rsidP="00FA159F">
      <w:pPr>
        <w:shd w:val="clear" w:color="auto" w:fill="FFFFFF" w:themeFill="background1"/>
        <w:rPr>
          <w:rFonts w:cstheme="minorBidi"/>
          <w:szCs w:val="23"/>
        </w:rPr>
      </w:pPr>
      <w:r w:rsidRPr="002E5315">
        <w:rPr>
          <w:rFonts w:cstheme="minorBidi"/>
          <w:szCs w:val="23"/>
        </w:rPr>
        <w:t>Riješeno je 25 žalbi na odbijajuća rješenja ili rješenja o odbacivanju zahtjeva na način da je, u 13 (52%) slučajeva utvrđeno da su pravosudna tijela pravilno i zakonito riješila predmet te je žalba odbijena kao neosnovana i potvrđena su prvostupanjska rješenja. U 10 (40%) slučajeva utvrđeno je da su rješenja pravosudnih tijela nezakonita te su ista poništena, i to tako da je Povjerenik omogućio žalitelju pristup informaciji u 6 ž</w:t>
      </w:r>
      <w:r w:rsidR="00DF700A">
        <w:rPr>
          <w:rFonts w:cstheme="minorBidi"/>
          <w:szCs w:val="23"/>
        </w:rPr>
        <w:t>a</w:t>
      </w:r>
      <w:r w:rsidRPr="002E5315">
        <w:rPr>
          <w:rFonts w:cstheme="minorBidi"/>
          <w:szCs w:val="23"/>
        </w:rPr>
        <w:t>lbenih slučajeva, u 4 slučaja predmet vraćen na ponovni postupak te je 1 žalba odbačena, a u jednom slučaju je tijelo promijenilo svoju odluku.</w:t>
      </w:r>
    </w:p>
    <w:p w14:paraId="2DD1CB3C" w14:textId="005CEAD8" w:rsidR="005307B5" w:rsidRPr="002E5315" w:rsidRDefault="00FA159F" w:rsidP="00FA159F">
      <w:pPr>
        <w:shd w:val="clear" w:color="auto" w:fill="FFFFFF" w:themeFill="background1"/>
        <w:rPr>
          <w:rFonts w:cstheme="minorHAnsi"/>
          <w:color w:val="000000" w:themeColor="text1"/>
          <w:szCs w:val="23"/>
        </w:rPr>
      </w:pPr>
      <w:r w:rsidRPr="002E5315">
        <w:rPr>
          <w:rFonts w:cstheme="minorHAnsi"/>
          <w:color w:val="000000" w:themeColor="text1"/>
          <w:szCs w:val="23"/>
        </w:rPr>
        <w:lastRenderedPageBreak/>
        <w:t xml:space="preserve">Povjerenik je ocijenio da </w:t>
      </w:r>
      <w:r w:rsidRPr="002E5315">
        <w:rPr>
          <w:rFonts w:cstheme="minorHAnsi"/>
          <w:b/>
          <w:color w:val="000000" w:themeColor="text1"/>
          <w:szCs w:val="23"/>
        </w:rPr>
        <w:t>u 40% slučajeva uskrate pristupa informacijama odluke pravosudnih tijela nisu u skladu sa odredbama ZPPI-ja</w:t>
      </w:r>
      <w:r w:rsidRPr="002E5315">
        <w:rPr>
          <w:rFonts w:cstheme="minorHAnsi"/>
          <w:color w:val="000000" w:themeColor="text1"/>
          <w:szCs w:val="23"/>
        </w:rPr>
        <w:t xml:space="preserve"> te je rješenje poništeno i naloženo omogućavanje pristupa informaciji ili predmet vraćen na ponovni postupak. Razloge problema u ostvarivanju prava na pristup informacijama kod pravosudnih tijela može se naći u nedovoljnoj educiranosti službenika za infor</w:t>
      </w:r>
      <w:r w:rsidRPr="002E5315">
        <w:rPr>
          <w:rFonts w:cstheme="minorHAnsi"/>
          <w:szCs w:val="23"/>
        </w:rPr>
        <w:t xml:space="preserve">miranje, jer su često poništavani predmeti zbog nepoznavanja postupovnih odredbi ZPPI-ja, obuhvata informacije </w:t>
      </w:r>
      <w:r w:rsidRPr="002E5315">
        <w:rPr>
          <w:rFonts w:cstheme="minorHAnsi"/>
          <w:color w:val="000000" w:themeColor="text1"/>
          <w:szCs w:val="23"/>
        </w:rPr>
        <w:t>te raspolaganja javnim sredstvima u smislu ZPPI-ja u kojima se tražene informacije o isplatama vještacima i sl</w:t>
      </w:r>
      <w:r w:rsidR="005307B5" w:rsidRPr="002E5315">
        <w:rPr>
          <w:rFonts w:cstheme="minorHAnsi"/>
          <w:color w:val="000000" w:themeColor="text1"/>
          <w:szCs w:val="23"/>
        </w:rPr>
        <w:t>.</w:t>
      </w:r>
    </w:p>
    <w:p w14:paraId="646E8AF2" w14:textId="56EB26FF" w:rsidR="005307B5" w:rsidRPr="002E5315" w:rsidRDefault="005307B5" w:rsidP="003A188D">
      <w:pPr>
        <w:pStyle w:val="Naslov2"/>
        <w:rPr>
          <w:rFonts w:cstheme="minorHAnsi"/>
        </w:rPr>
      </w:pPr>
      <w:bookmarkStart w:id="28" w:name="_Toc36308933"/>
      <w:r w:rsidRPr="002E5315">
        <w:t>Odlu</w:t>
      </w:r>
      <w:r w:rsidR="00990B96" w:rsidRPr="002E5315">
        <w:t>ke</w:t>
      </w:r>
      <w:r w:rsidRPr="002E5315">
        <w:t xml:space="preserve"> o žalb</w:t>
      </w:r>
      <w:r w:rsidR="00990B96" w:rsidRPr="002E5315">
        <w:t>ama</w:t>
      </w:r>
      <w:r w:rsidRPr="002E5315">
        <w:t xml:space="preserve"> prema odabranim razlozima odbijanja zahtjeva</w:t>
      </w:r>
      <w:bookmarkEnd w:id="28"/>
      <w:r w:rsidRPr="002E5315">
        <w:t xml:space="preserve"> </w:t>
      </w:r>
    </w:p>
    <w:p w14:paraId="68AD0B4E" w14:textId="77777777" w:rsidR="00633D93" w:rsidRDefault="00FA159F" w:rsidP="005307B5">
      <w:pPr>
        <w:shd w:val="clear" w:color="auto" w:fill="FFFFFF" w:themeFill="background1"/>
        <w:tabs>
          <w:tab w:val="left" w:pos="-1843"/>
        </w:tabs>
        <w:rPr>
          <w:rFonts w:cs="Arial"/>
          <w:szCs w:val="23"/>
        </w:rPr>
      </w:pPr>
      <w:r w:rsidRPr="002E5315">
        <w:rPr>
          <w:rFonts w:cs="Arial"/>
          <w:color w:val="000000"/>
          <w:szCs w:val="23"/>
        </w:rPr>
        <w:t xml:space="preserve">U nastavku se analiziraju odluke Povjerenika po žalbama u 2019. prema zakonskim ograničenjima u odnosu na </w:t>
      </w:r>
      <w:r w:rsidRPr="002E5315">
        <w:rPr>
          <w:rFonts w:cs="Arial"/>
          <w:szCs w:val="23"/>
        </w:rPr>
        <w:t>najčešće korištene razloge za odbijanje zahtjeva za pristup informacijama, a koji su prikazani u</w:t>
      </w:r>
      <w:r w:rsidR="005307B5" w:rsidRPr="002E5315">
        <w:rPr>
          <w:rFonts w:cs="Arial"/>
          <w:szCs w:val="23"/>
        </w:rPr>
        <w:t xml:space="preserve"> Tablici </w:t>
      </w:r>
      <w:r w:rsidR="003A188D" w:rsidRPr="002E5315">
        <w:rPr>
          <w:rFonts w:cs="Arial"/>
          <w:szCs w:val="23"/>
        </w:rPr>
        <w:t>3</w:t>
      </w:r>
      <w:r w:rsidR="005307B5" w:rsidRPr="002E5315">
        <w:rPr>
          <w:rFonts w:cs="Arial"/>
          <w:szCs w:val="23"/>
        </w:rPr>
        <w:t>.</w:t>
      </w:r>
      <w:r w:rsidR="003A188D" w:rsidRPr="002E5315">
        <w:rPr>
          <w:rFonts w:cs="Arial"/>
          <w:szCs w:val="23"/>
        </w:rPr>
        <w:t>8</w:t>
      </w:r>
      <w:r w:rsidR="00633D93">
        <w:rPr>
          <w:rFonts w:cs="Arial"/>
          <w:szCs w:val="23"/>
        </w:rPr>
        <w:t>.</w:t>
      </w:r>
    </w:p>
    <w:p w14:paraId="3593A2E9" w14:textId="5E2C6860" w:rsidR="005307B5" w:rsidRPr="002E5315" w:rsidRDefault="005307B5" w:rsidP="009B50F8">
      <w:pPr>
        <w:pStyle w:val="Tijeloteksta-uvlaka3"/>
        <w:keepNext/>
        <w:spacing w:before="240"/>
        <w:ind w:left="0" w:firstLine="0"/>
        <w:rPr>
          <w:rFonts w:cs="Arial"/>
          <w:sz w:val="20"/>
          <w:lang w:val="hr-HR"/>
        </w:rPr>
      </w:pPr>
      <w:r w:rsidRPr="002E5315">
        <w:rPr>
          <w:rFonts w:cs="Arial"/>
          <w:sz w:val="20"/>
          <w:lang w:val="hr-HR"/>
        </w:rPr>
        <w:t xml:space="preserve">Tablica </w:t>
      </w:r>
      <w:r w:rsidR="003A188D" w:rsidRPr="002E5315">
        <w:rPr>
          <w:rFonts w:cs="Arial"/>
          <w:sz w:val="20"/>
          <w:lang w:val="hr-HR"/>
        </w:rPr>
        <w:t>3</w:t>
      </w:r>
      <w:r w:rsidRPr="002E5315">
        <w:rPr>
          <w:rFonts w:cs="Arial"/>
          <w:sz w:val="20"/>
          <w:lang w:val="hr-HR"/>
        </w:rPr>
        <w:t>.</w:t>
      </w:r>
      <w:r w:rsidR="003A188D" w:rsidRPr="002E5315">
        <w:rPr>
          <w:rFonts w:cs="Arial"/>
          <w:sz w:val="20"/>
          <w:lang w:val="hr-HR"/>
        </w:rPr>
        <w:t>8</w:t>
      </w:r>
      <w:r w:rsidRPr="002E5315">
        <w:rPr>
          <w:rFonts w:cs="Arial"/>
          <w:sz w:val="20"/>
          <w:lang w:val="hr-HR"/>
        </w:rPr>
        <w:t>. Žalbe i rješavanje žalbi prema odabranim razlozima odbijanja</w:t>
      </w:r>
    </w:p>
    <w:tbl>
      <w:tblPr>
        <w:tblStyle w:val="ListTable2-Accent11"/>
        <w:tblW w:w="5000" w:type="pct"/>
        <w:tblLook w:val="04A0" w:firstRow="1" w:lastRow="0" w:firstColumn="1" w:lastColumn="0" w:noHBand="0" w:noVBand="1"/>
      </w:tblPr>
      <w:tblGrid>
        <w:gridCol w:w="1276"/>
        <w:gridCol w:w="778"/>
        <w:gridCol w:w="966"/>
        <w:gridCol w:w="841"/>
        <w:gridCol w:w="929"/>
        <w:gridCol w:w="851"/>
        <w:gridCol w:w="953"/>
        <w:gridCol w:w="1016"/>
        <w:gridCol w:w="787"/>
        <w:gridCol w:w="891"/>
      </w:tblGrid>
      <w:tr w:rsidR="005307B5" w:rsidRPr="002E5315" w14:paraId="511E0DE3" w14:textId="77777777" w:rsidTr="00CA60CA">
        <w:trPr>
          <w:cnfStyle w:val="100000000000" w:firstRow="1" w:lastRow="0" w:firstColumn="0" w:lastColumn="0" w:oddVBand="0" w:evenVBand="0" w:oddHBand="0"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694" w:type="pct"/>
            <w:vAlign w:val="center"/>
            <w:hideMark/>
          </w:tcPr>
          <w:p w14:paraId="7BDDA539" w14:textId="77777777" w:rsidR="005307B5" w:rsidRPr="002E5315" w:rsidRDefault="005307B5" w:rsidP="005307B5">
            <w:pPr>
              <w:jc w:val="center"/>
              <w:rPr>
                <w:rFonts w:cs="Arial"/>
                <w:b w:val="0"/>
                <w:bCs w:val="0"/>
                <w:i/>
                <w:sz w:val="16"/>
                <w:szCs w:val="16"/>
              </w:rPr>
            </w:pPr>
            <w:r w:rsidRPr="002E5315">
              <w:rPr>
                <w:rFonts w:cs="Arial"/>
                <w:bCs w:val="0"/>
                <w:i/>
                <w:sz w:val="16"/>
                <w:szCs w:val="16"/>
              </w:rPr>
              <w:t>Riješeni predmeti u 2019.</w:t>
            </w:r>
          </w:p>
        </w:tc>
        <w:tc>
          <w:tcPr>
            <w:tcW w:w="417" w:type="pct"/>
            <w:vAlign w:val="center"/>
            <w:hideMark/>
          </w:tcPr>
          <w:p w14:paraId="01188115"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Ukupno</w:t>
            </w:r>
          </w:p>
        </w:tc>
        <w:tc>
          <w:tcPr>
            <w:tcW w:w="512" w:type="pct"/>
            <w:vAlign w:val="center"/>
            <w:hideMark/>
          </w:tcPr>
          <w:p w14:paraId="241CC265"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Neriješeno</w:t>
            </w:r>
          </w:p>
        </w:tc>
        <w:tc>
          <w:tcPr>
            <w:tcW w:w="460" w:type="pct"/>
            <w:vAlign w:val="center"/>
            <w:hideMark/>
          </w:tcPr>
          <w:p w14:paraId="7E5A6645"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Riješeno</w:t>
            </w:r>
          </w:p>
        </w:tc>
        <w:tc>
          <w:tcPr>
            <w:tcW w:w="507" w:type="pct"/>
            <w:vAlign w:val="center"/>
            <w:hideMark/>
          </w:tcPr>
          <w:p w14:paraId="6D1258A4"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Rješenje-žalba-odbačena</w:t>
            </w:r>
          </w:p>
        </w:tc>
        <w:tc>
          <w:tcPr>
            <w:tcW w:w="463" w:type="pct"/>
            <w:vAlign w:val="center"/>
            <w:hideMark/>
          </w:tcPr>
          <w:p w14:paraId="73DF7FA4"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Rješenje-žalba-odbijena</w:t>
            </w:r>
          </w:p>
        </w:tc>
        <w:tc>
          <w:tcPr>
            <w:tcW w:w="521" w:type="pct"/>
            <w:vAlign w:val="center"/>
            <w:hideMark/>
          </w:tcPr>
          <w:p w14:paraId="60309E5A"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Rješenje poništeno i naloženo da omogući slobodan pristup</w:t>
            </w:r>
          </w:p>
        </w:tc>
        <w:tc>
          <w:tcPr>
            <w:tcW w:w="510" w:type="pct"/>
            <w:vAlign w:val="center"/>
            <w:hideMark/>
          </w:tcPr>
          <w:p w14:paraId="4437D290"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Rješenje poništeno i dostavljeno na ponovno rješavanje</w:t>
            </w:r>
          </w:p>
        </w:tc>
        <w:tc>
          <w:tcPr>
            <w:tcW w:w="430" w:type="pct"/>
            <w:vAlign w:val="center"/>
            <w:hideMark/>
          </w:tcPr>
          <w:p w14:paraId="2C95BF6C"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 w:val="0"/>
                <w:bCs w:val="0"/>
                <w:i/>
                <w:sz w:val="16"/>
                <w:szCs w:val="16"/>
              </w:rPr>
            </w:pPr>
            <w:r w:rsidRPr="002E5315">
              <w:rPr>
                <w:rFonts w:cs="Arial"/>
                <w:bCs w:val="0"/>
                <w:i/>
                <w:sz w:val="16"/>
                <w:szCs w:val="16"/>
              </w:rPr>
              <w:t>Žalbe o kojima je TJV samo odlučilo</w:t>
            </w:r>
          </w:p>
        </w:tc>
        <w:tc>
          <w:tcPr>
            <w:tcW w:w="486" w:type="pct"/>
            <w:vAlign w:val="center"/>
          </w:tcPr>
          <w:p w14:paraId="07DD554D" w14:textId="77777777" w:rsidR="005307B5" w:rsidRPr="002E5315" w:rsidRDefault="005307B5" w:rsidP="005307B5">
            <w:pPr>
              <w:jc w:val="center"/>
              <w:cnfStyle w:val="100000000000" w:firstRow="1" w:lastRow="0" w:firstColumn="0" w:lastColumn="0" w:oddVBand="0" w:evenVBand="0" w:oddHBand="0" w:evenHBand="0" w:firstRowFirstColumn="0" w:firstRowLastColumn="0" w:lastRowFirstColumn="0" w:lastRowLastColumn="0"/>
              <w:rPr>
                <w:rFonts w:cs="Arial"/>
                <w:bCs w:val="0"/>
                <w:i/>
                <w:sz w:val="16"/>
                <w:szCs w:val="16"/>
              </w:rPr>
            </w:pPr>
            <w:r w:rsidRPr="002E5315">
              <w:rPr>
                <w:rFonts w:cs="Arial"/>
                <w:bCs w:val="0"/>
                <w:i/>
                <w:sz w:val="16"/>
                <w:szCs w:val="16"/>
              </w:rPr>
              <w:t>Rješenje- obustava postupka</w:t>
            </w:r>
          </w:p>
        </w:tc>
      </w:tr>
      <w:tr w:rsidR="005307B5" w:rsidRPr="002E5315" w14:paraId="6232EE52" w14:textId="77777777" w:rsidTr="00CA60C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94" w:type="pct"/>
            <w:vAlign w:val="center"/>
            <w:hideMark/>
          </w:tcPr>
          <w:p w14:paraId="06F8F256" w14:textId="438682E0" w:rsidR="005307B5" w:rsidRPr="002E5315" w:rsidRDefault="005307B5" w:rsidP="00CA60CA">
            <w:pPr>
              <w:jc w:val="left"/>
              <w:rPr>
                <w:rFonts w:cs="Arial"/>
                <w:b w:val="0"/>
                <w:i/>
                <w:sz w:val="16"/>
                <w:szCs w:val="16"/>
              </w:rPr>
            </w:pPr>
            <w:r w:rsidRPr="002E5315">
              <w:rPr>
                <w:rFonts w:cs="Arial"/>
                <w:b w:val="0"/>
                <w:i/>
                <w:sz w:val="16"/>
                <w:szCs w:val="16"/>
              </w:rPr>
              <w:t>Osobni podaci</w:t>
            </w:r>
          </w:p>
        </w:tc>
        <w:tc>
          <w:tcPr>
            <w:tcW w:w="417" w:type="pct"/>
            <w:vAlign w:val="center"/>
          </w:tcPr>
          <w:p w14:paraId="17756F0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113</w:t>
            </w:r>
          </w:p>
        </w:tc>
        <w:tc>
          <w:tcPr>
            <w:tcW w:w="512" w:type="pct"/>
            <w:vAlign w:val="center"/>
          </w:tcPr>
          <w:p w14:paraId="0F31830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34</w:t>
            </w:r>
          </w:p>
        </w:tc>
        <w:tc>
          <w:tcPr>
            <w:tcW w:w="460" w:type="pct"/>
            <w:vAlign w:val="center"/>
          </w:tcPr>
          <w:p w14:paraId="797CD725"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79</w:t>
            </w:r>
          </w:p>
        </w:tc>
        <w:tc>
          <w:tcPr>
            <w:tcW w:w="507" w:type="pct"/>
            <w:vAlign w:val="center"/>
          </w:tcPr>
          <w:p w14:paraId="45568F5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w:t>
            </w:r>
          </w:p>
        </w:tc>
        <w:tc>
          <w:tcPr>
            <w:tcW w:w="463" w:type="pct"/>
            <w:vAlign w:val="center"/>
          </w:tcPr>
          <w:p w14:paraId="24C5E1D6"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18</w:t>
            </w:r>
          </w:p>
        </w:tc>
        <w:tc>
          <w:tcPr>
            <w:tcW w:w="521" w:type="pct"/>
            <w:vAlign w:val="center"/>
          </w:tcPr>
          <w:p w14:paraId="5675916D"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47</w:t>
            </w:r>
          </w:p>
        </w:tc>
        <w:tc>
          <w:tcPr>
            <w:tcW w:w="510" w:type="pct"/>
            <w:vAlign w:val="center"/>
          </w:tcPr>
          <w:p w14:paraId="7758F5C2"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11</w:t>
            </w:r>
          </w:p>
        </w:tc>
        <w:tc>
          <w:tcPr>
            <w:tcW w:w="430" w:type="pct"/>
            <w:vAlign w:val="center"/>
          </w:tcPr>
          <w:p w14:paraId="2AD91AA6"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2</w:t>
            </w:r>
          </w:p>
        </w:tc>
        <w:tc>
          <w:tcPr>
            <w:tcW w:w="486" w:type="pct"/>
            <w:vAlign w:val="center"/>
          </w:tcPr>
          <w:p w14:paraId="65E01FD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w:t>
            </w:r>
          </w:p>
        </w:tc>
      </w:tr>
      <w:tr w:rsidR="005307B5" w:rsidRPr="002E5315" w14:paraId="1EC095B3" w14:textId="77777777" w:rsidTr="00CA60CA">
        <w:trPr>
          <w:trHeight w:val="368"/>
        </w:trPr>
        <w:tc>
          <w:tcPr>
            <w:cnfStyle w:val="001000000000" w:firstRow="0" w:lastRow="0" w:firstColumn="1" w:lastColumn="0" w:oddVBand="0" w:evenVBand="0" w:oddHBand="0" w:evenHBand="0" w:firstRowFirstColumn="0" w:firstRowLastColumn="0" w:lastRowFirstColumn="0" w:lastRowLastColumn="0"/>
            <w:tcW w:w="694" w:type="pct"/>
            <w:vAlign w:val="center"/>
          </w:tcPr>
          <w:p w14:paraId="56EDB0DB" w14:textId="77777777" w:rsidR="005307B5" w:rsidRPr="002E5315" w:rsidRDefault="005307B5" w:rsidP="00CA60CA">
            <w:pPr>
              <w:jc w:val="left"/>
              <w:rPr>
                <w:rFonts w:cs="Arial"/>
                <w:b w:val="0"/>
                <w:i/>
                <w:sz w:val="16"/>
                <w:szCs w:val="16"/>
              </w:rPr>
            </w:pPr>
            <w:r w:rsidRPr="002E5315">
              <w:rPr>
                <w:b w:val="0"/>
                <w:i/>
                <w:sz w:val="16"/>
                <w:szCs w:val="16"/>
              </w:rPr>
              <w:t>Ne posjeduje informaciju</w:t>
            </w:r>
          </w:p>
        </w:tc>
        <w:tc>
          <w:tcPr>
            <w:tcW w:w="417" w:type="pct"/>
            <w:vAlign w:val="center"/>
          </w:tcPr>
          <w:p w14:paraId="77A69F11"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87</w:t>
            </w:r>
          </w:p>
        </w:tc>
        <w:tc>
          <w:tcPr>
            <w:tcW w:w="512" w:type="pct"/>
            <w:vAlign w:val="center"/>
          </w:tcPr>
          <w:p w14:paraId="4E314364"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28</w:t>
            </w:r>
          </w:p>
        </w:tc>
        <w:tc>
          <w:tcPr>
            <w:tcW w:w="460" w:type="pct"/>
            <w:vAlign w:val="center"/>
          </w:tcPr>
          <w:p w14:paraId="52F322A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59</w:t>
            </w:r>
          </w:p>
        </w:tc>
        <w:tc>
          <w:tcPr>
            <w:tcW w:w="507" w:type="pct"/>
            <w:vAlign w:val="center"/>
          </w:tcPr>
          <w:p w14:paraId="54862E66"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w:t>
            </w:r>
          </w:p>
        </w:tc>
        <w:tc>
          <w:tcPr>
            <w:tcW w:w="463" w:type="pct"/>
            <w:vAlign w:val="center"/>
          </w:tcPr>
          <w:p w14:paraId="3AAED9F1"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36</w:t>
            </w:r>
          </w:p>
        </w:tc>
        <w:tc>
          <w:tcPr>
            <w:tcW w:w="521" w:type="pct"/>
            <w:vAlign w:val="center"/>
          </w:tcPr>
          <w:p w14:paraId="60EBD90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w:t>
            </w:r>
          </w:p>
        </w:tc>
        <w:tc>
          <w:tcPr>
            <w:tcW w:w="510" w:type="pct"/>
            <w:vAlign w:val="center"/>
          </w:tcPr>
          <w:p w14:paraId="52F2B425"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14</w:t>
            </w:r>
          </w:p>
        </w:tc>
        <w:tc>
          <w:tcPr>
            <w:tcW w:w="430" w:type="pct"/>
            <w:vAlign w:val="center"/>
          </w:tcPr>
          <w:p w14:paraId="43F5C2E9"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w:t>
            </w:r>
          </w:p>
        </w:tc>
        <w:tc>
          <w:tcPr>
            <w:tcW w:w="486" w:type="pct"/>
            <w:vAlign w:val="center"/>
          </w:tcPr>
          <w:p w14:paraId="46434BD2"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4</w:t>
            </w:r>
          </w:p>
        </w:tc>
      </w:tr>
      <w:tr w:rsidR="005307B5" w:rsidRPr="002E5315" w14:paraId="1BC3BA0C" w14:textId="77777777" w:rsidTr="009B50F8">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94" w:type="pct"/>
            <w:vAlign w:val="center"/>
            <w:hideMark/>
          </w:tcPr>
          <w:p w14:paraId="5992181D" w14:textId="1A57A451" w:rsidR="005307B5" w:rsidRPr="002E5315" w:rsidRDefault="005307B5" w:rsidP="00CA60CA">
            <w:pPr>
              <w:jc w:val="left"/>
              <w:rPr>
                <w:rFonts w:cs="Arial"/>
                <w:b w:val="0"/>
                <w:i/>
                <w:sz w:val="16"/>
                <w:szCs w:val="16"/>
              </w:rPr>
            </w:pPr>
            <w:r w:rsidRPr="002E5315">
              <w:rPr>
                <w:rFonts w:cs="Arial"/>
                <w:b w:val="0"/>
                <w:i/>
                <w:sz w:val="16"/>
                <w:szCs w:val="16"/>
              </w:rPr>
              <w:t>Zlouporaba prava</w:t>
            </w:r>
          </w:p>
        </w:tc>
        <w:tc>
          <w:tcPr>
            <w:tcW w:w="417" w:type="pct"/>
            <w:vAlign w:val="center"/>
          </w:tcPr>
          <w:p w14:paraId="54B3F59D"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84</w:t>
            </w:r>
          </w:p>
        </w:tc>
        <w:tc>
          <w:tcPr>
            <w:tcW w:w="512" w:type="pct"/>
            <w:vAlign w:val="center"/>
          </w:tcPr>
          <w:p w14:paraId="16E26327"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30</w:t>
            </w:r>
          </w:p>
        </w:tc>
        <w:tc>
          <w:tcPr>
            <w:tcW w:w="460" w:type="pct"/>
            <w:vAlign w:val="center"/>
          </w:tcPr>
          <w:p w14:paraId="06027DD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54</w:t>
            </w:r>
          </w:p>
        </w:tc>
        <w:tc>
          <w:tcPr>
            <w:tcW w:w="507" w:type="pct"/>
            <w:vAlign w:val="center"/>
          </w:tcPr>
          <w:p w14:paraId="28A2CDE4"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c>
          <w:tcPr>
            <w:tcW w:w="463" w:type="pct"/>
            <w:vAlign w:val="center"/>
          </w:tcPr>
          <w:p w14:paraId="08C1786D"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20</w:t>
            </w:r>
          </w:p>
        </w:tc>
        <w:tc>
          <w:tcPr>
            <w:tcW w:w="521" w:type="pct"/>
            <w:vAlign w:val="center"/>
          </w:tcPr>
          <w:p w14:paraId="0135A3D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8</w:t>
            </w:r>
          </w:p>
        </w:tc>
        <w:tc>
          <w:tcPr>
            <w:tcW w:w="510" w:type="pct"/>
            <w:vAlign w:val="center"/>
          </w:tcPr>
          <w:p w14:paraId="01DB82CB"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24</w:t>
            </w:r>
          </w:p>
        </w:tc>
        <w:tc>
          <w:tcPr>
            <w:tcW w:w="430" w:type="pct"/>
            <w:vAlign w:val="center"/>
          </w:tcPr>
          <w:p w14:paraId="5D3559BF"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2</w:t>
            </w:r>
          </w:p>
        </w:tc>
        <w:tc>
          <w:tcPr>
            <w:tcW w:w="486" w:type="pct"/>
            <w:vAlign w:val="center"/>
          </w:tcPr>
          <w:p w14:paraId="62C0DBF9"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r>
      <w:tr w:rsidR="005307B5" w:rsidRPr="002E5315" w14:paraId="73DE0C23" w14:textId="77777777" w:rsidTr="009B50F8">
        <w:trPr>
          <w:trHeight w:val="621"/>
        </w:trPr>
        <w:tc>
          <w:tcPr>
            <w:cnfStyle w:val="001000000000" w:firstRow="0" w:lastRow="0" w:firstColumn="1" w:lastColumn="0" w:oddVBand="0" w:evenVBand="0" w:oddHBand="0" w:evenHBand="0" w:firstRowFirstColumn="0" w:firstRowLastColumn="0" w:lastRowFirstColumn="0" w:lastRowLastColumn="0"/>
            <w:tcW w:w="694" w:type="pct"/>
            <w:vAlign w:val="center"/>
            <w:hideMark/>
          </w:tcPr>
          <w:p w14:paraId="34625C1D" w14:textId="2F478235" w:rsidR="005307B5" w:rsidRPr="002E5315" w:rsidRDefault="005307B5" w:rsidP="00CA60CA">
            <w:pPr>
              <w:jc w:val="left"/>
              <w:rPr>
                <w:rFonts w:cs="Arial"/>
                <w:b w:val="0"/>
                <w:i/>
                <w:sz w:val="16"/>
                <w:szCs w:val="16"/>
              </w:rPr>
            </w:pPr>
            <w:r w:rsidRPr="002E5315">
              <w:rPr>
                <w:rFonts w:cs="Arial"/>
                <w:b w:val="0"/>
                <w:i/>
                <w:sz w:val="16"/>
                <w:szCs w:val="16"/>
              </w:rPr>
              <w:t>Poslovna i profesionalna tajna</w:t>
            </w:r>
          </w:p>
        </w:tc>
        <w:tc>
          <w:tcPr>
            <w:tcW w:w="417" w:type="pct"/>
            <w:vAlign w:val="center"/>
          </w:tcPr>
          <w:p w14:paraId="3C74936F"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81</w:t>
            </w:r>
          </w:p>
        </w:tc>
        <w:tc>
          <w:tcPr>
            <w:tcW w:w="512" w:type="pct"/>
            <w:vAlign w:val="center"/>
          </w:tcPr>
          <w:p w14:paraId="5F48ED6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24</w:t>
            </w:r>
          </w:p>
        </w:tc>
        <w:tc>
          <w:tcPr>
            <w:tcW w:w="460" w:type="pct"/>
            <w:vAlign w:val="center"/>
          </w:tcPr>
          <w:p w14:paraId="0BC96237"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57</w:t>
            </w:r>
          </w:p>
        </w:tc>
        <w:tc>
          <w:tcPr>
            <w:tcW w:w="507" w:type="pct"/>
            <w:vAlign w:val="center"/>
          </w:tcPr>
          <w:p w14:paraId="47C995DF"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w:t>
            </w:r>
          </w:p>
        </w:tc>
        <w:tc>
          <w:tcPr>
            <w:tcW w:w="463" w:type="pct"/>
            <w:vAlign w:val="center"/>
          </w:tcPr>
          <w:p w14:paraId="1B876734"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5</w:t>
            </w:r>
          </w:p>
        </w:tc>
        <w:tc>
          <w:tcPr>
            <w:tcW w:w="521" w:type="pct"/>
            <w:vAlign w:val="center"/>
          </w:tcPr>
          <w:p w14:paraId="348EEB8A"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43</w:t>
            </w:r>
          </w:p>
        </w:tc>
        <w:tc>
          <w:tcPr>
            <w:tcW w:w="510" w:type="pct"/>
            <w:vAlign w:val="center"/>
          </w:tcPr>
          <w:p w14:paraId="69EEE911"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6</w:t>
            </w:r>
          </w:p>
        </w:tc>
        <w:tc>
          <w:tcPr>
            <w:tcW w:w="430" w:type="pct"/>
            <w:vAlign w:val="center"/>
          </w:tcPr>
          <w:p w14:paraId="0D702C83"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w:t>
            </w:r>
          </w:p>
        </w:tc>
        <w:tc>
          <w:tcPr>
            <w:tcW w:w="486" w:type="pct"/>
            <w:vAlign w:val="center"/>
          </w:tcPr>
          <w:p w14:paraId="23685052"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w:t>
            </w:r>
          </w:p>
        </w:tc>
      </w:tr>
      <w:tr w:rsidR="005307B5" w:rsidRPr="002E5315" w14:paraId="48AE749A" w14:textId="77777777" w:rsidTr="00CA60C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94" w:type="pct"/>
            <w:vAlign w:val="center"/>
            <w:hideMark/>
          </w:tcPr>
          <w:p w14:paraId="0293F6FC" w14:textId="655AE95E" w:rsidR="005307B5" w:rsidRPr="002E5315" w:rsidRDefault="005307B5" w:rsidP="00CA60CA">
            <w:pPr>
              <w:jc w:val="left"/>
              <w:rPr>
                <w:b w:val="0"/>
                <w:i/>
                <w:sz w:val="16"/>
                <w:szCs w:val="16"/>
              </w:rPr>
            </w:pPr>
            <w:r w:rsidRPr="002E5315">
              <w:rPr>
                <w:b w:val="0"/>
                <w:i/>
                <w:sz w:val="16"/>
                <w:szCs w:val="16"/>
              </w:rPr>
              <w:t>Ne smatra se informacijom</w:t>
            </w:r>
          </w:p>
        </w:tc>
        <w:tc>
          <w:tcPr>
            <w:tcW w:w="417" w:type="pct"/>
            <w:vAlign w:val="center"/>
          </w:tcPr>
          <w:p w14:paraId="0176CAC3"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40</w:t>
            </w:r>
          </w:p>
        </w:tc>
        <w:tc>
          <w:tcPr>
            <w:tcW w:w="512" w:type="pct"/>
            <w:vAlign w:val="center"/>
          </w:tcPr>
          <w:p w14:paraId="454D4A92"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12</w:t>
            </w:r>
          </w:p>
        </w:tc>
        <w:tc>
          <w:tcPr>
            <w:tcW w:w="460" w:type="pct"/>
            <w:vAlign w:val="center"/>
          </w:tcPr>
          <w:p w14:paraId="4132A890"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28</w:t>
            </w:r>
          </w:p>
        </w:tc>
        <w:tc>
          <w:tcPr>
            <w:tcW w:w="507" w:type="pct"/>
            <w:vAlign w:val="center"/>
          </w:tcPr>
          <w:p w14:paraId="4F7967C4"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w:t>
            </w:r>
          </w:p>
        </w:tc>
        <w:tc>
          <w:tcPr>
            <w:tcW w:w="463" w:type="pct"/>
            <w:vAlign w:val="center"/>
          </w:tcPr>
          <w:p w14:paraId="7F8EA0AB"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12</w:t>
            </w:r>
          </w:p>
        </w:tc>
        <w:tc>
          <w:tcPr>
            <w:tcW w:w="521" w:type="pct"/>
            <w:vAlign w:val="center"/>
          </w:tcPr>
          <w:p w14:paraId="1DB6B17D"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4</w:t>
            </w:r>
          </w:p>
        </w:tc>
        <w:tc>
          <w:tcPr>
            <w:tcW w:w="510" w:type="pct"/>
            <w:vAlign w:val="center"/>
          </w:tcPr>
          <w:p w14:paraId="04C3DB82"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10</w:t>
            </w:r>
          </w:p>
        </w:tc>
        <w:tc>
          <w:tcPr>
            <w:tcW w:w="430" w:type="pct"/>
            <w:vAlign w:val="center"/>
          </w:tcPr>
          <w:p w14:paraId="68C8CE8F"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c>
          <w:tcPr>
            <w:tcW w:w="486" w:type="pct"/>
            <w:vAlign w:val="center"/>
          </w:tcPr>
          <w:p w14:paraId="7AA936F6"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1</w:t>
            </w:r>
          </w:p>
        </w:tc>
      </w:tr>
      <w:tr w:rsidR="005307B5" w:rsidRPr="002E5315" w14:paraId="4F42F325" w14:textId="77777777" w:rsidTr="00CA60CA">
        <w:trPr>
          <w:trHeight w:val="620"/>
        </w:trPr>
        <w:tc>
          <w:tcPr>
            <w:cnfStyle w:val="001000000000" w:firstRow="0" w:lastRow="0" w:firstColumn="1" w:lastColumn="0" w:oddVBand="0" w:evenVBand="0" w:oddHBand="0" w:evenHBand="0" w:firstRowFirstColumn="0" w:firstRowLastColumn="0" w:lastRowFirstColumn="0" w:lastRowLastColumn="0"/>
            <w:tcW w:w="694" w:type="pct"/>
            <w:vAlign w:val="center"/>
          </w:tcPr>
          <w:p w14:paraId="346DA46B" w14:textId="1225DC54" w:rsidR="005307B5" w:rsidRPr="002E5315" w:rsidRDefault="005307B5" w:rsidP="00CA60CA">
            <w:pPr>
              <w:jc w:val="left"/>
              <w:rPr>
                <w:b w:val="0"/>
                <w:i/>
                <w:sz w:val="16"/>
                <w:szCs w:val="16"/>
              </w:rPr>
            </w:pPr>
            <w:r w:rsidRPr="002E5315">
              <w:rPr>
                <w:b w:val="0"/>
                <w:i/>
                <w:sz w:val="16"/>
                <w:szCs w:val="16"/>
              </w:rPr>
              <w:t>U ostalim slučajevima utvrđenim zakonom</w:t>
            </w:r>
          </w:p>
        </w:tc>
        <w:tc>
          <w:tcPr>
            <w:tcW w:w="417" w:type="pct"/>
            <w:vAlign w:val="center"/>
          </w:tcPr>
          <w:p w14:paraId="6D496660"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i/>
                <w:sz w:val="16"/>
                <w:szCs w:val="16"/>
              </w:rPr>
            </w:pPr>
            <w:r w:rsidRPr="002E5315">
              <w:rPr>
                <w:i/>
                <w:sz w:val="16"/>
                <w:szCs w:val="16"/>
              </w:rPr>
              <w:t>34</w:t>
            </w:r>
          </w:p>
        </w:tc>
        <w:tc>
          <w:tcPr>
            <w:tcW w:w="512" w:type="pct"/>
            <w:vAlign w:val="center"/>
          </w:tcPr>
          <w:p w14:paraId="33E951FC"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12</w:t>
            </w:r>
          </w:p>
        </w:tc>
        <w:tc>
          <w:tcPr>
            <w:tcW w:w="460" w:type="pct"/>
            <w:vAlign w:val="center"/>
          </w:tcPr>
          <w:p w14:paraId="18FAF39C"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22</w:t>
            </w:r>
          </w:p>
        </w:tc>
        <w:tc>
          <w:tcPr>
            <w:tcW w:w="507" w:type="pct"/>
            <w:vAlign w:val="center"/>
          </w:tcPr>
          <w:p w14:paraId="6E6070F3"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0</w:t>
            </w:r>
          </w:p>
        </w:tc>
        <w:tc>
          <w:tcPr>
            <w:tcW w:w="463" w:type="pct"/>
            <w:vAlign w:val="center"/>
          </w:tcPr>
          <w:p w14:paraId="04DA0CD9"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7</w:t>
            </w:r>
          </w:p>
        </w:tc>
        <w:tc>
          <w:tcPr>
            <w:tcW w:w="521" w:type="pct"/>
            <w:vAlign w:val="center"/>
          </w:tcPr>
          <w:p w14:paraId="3C2B89F8"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10</w:t>
            </w:r>
          </w:p>
        </w:tc>
        <w:tc>
          <w:tcPr>
            <w:tcW w:w="510" w:type="pct"/>
            <w:vAlign w:val="center"/>
          </w:tcPr>
          <w:p w14:paraId="6D58BE37"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4</w:t>
            </w:r>
          </w:p>
        </w:tc>
        <w:tc>
          <w:tcPr>
            <w:tcW w:w="430" w:type="pct"/>
            <w:vAlign w:val="center"/>
          </w:tcPr>
          <w:p w14:paraId="00863CF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w:t>
            </w:r>
          </w:p>
        </w:tc>
        <w:tc>
          <w:tcPr>
            <w:tcW w:w="486" w:type="pct"/>
            <w:vAlign w:val="center"/>
          </w:tcPr>
          <w:p w14:paraId="38DE9D3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0</w:t>
            </w:r>
          </w:p>
        </w:tc>
      </w:tr>
      <w:tr w:rsidR="005307B5" w:rsidRPr="002E5315" w14:paraId="3A36D77E" w14:textId="77777777" w:rsidTr="00CA60C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94" w:type="pct"/>
            <w:vAlign w:val="center"/>
          </w:tcPr>
          <w:p w14:paraId="5676AA68" w14:textId="77777777" w:rsidR="005307B5" w:rsidRPr="002E5315" w:rsidRDefault="005307B5" w:rsidP="00CA60CA">
            <w:pPr>
              <w:jc w:val="left"/>
              <w:rPr>
                <w:b w:val="0"/>
                <w:i/>
                <w:sz w:val="16"/>
                <w:szCs w:val="16"/>
              </w:rPr>
            </w:pPr>
            <w:r w:rsidRPr="002E5315">
              <w:rPr>
                <w:b w:val="0"/>
                <w:i/>
                <w:sz w:val="16"/>
                <w:szCs w:val="16"/>
              </w:rPr>
              <w:t>Klasificirani podaci</w:t>
            </w:r>
          </w:p>
        </w:tc>
        <w:tc>
          <w:tcPr>
            <w:tcW w:w="417" w:type="pct"/>
            <w:vAlign w:val="center"/>
          </w:tcPr>
          <w:p w14:paraId="21743B10"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i/>
                <w:sz w:val="16"/>
                <w:szCs w:val="16"/>
              </w:rPr>
            </w:pPr>
            <w:r w:rsidRPr="002E5315">
              <w:rPr>
                <w:i/>
                <w:sz w:val="16"/>
                <w:szCs w:val="16"/>
              </w:rPr>
              <w:t>10</w:t>
            </w:r>
          </w:p>
        </w:tc>
        <w:tc>
          <w:tcPr>
            <w:tcW w:w="512" w:type="pct"/>
            <w:vAlign w:val="center"/>
          </w:tcPr>
          <w:p w14:paraId="030AA224"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2</w:t>
            </w:r>
          </w:p>
        </w:tc>
        <w:tc>
          <w:tcPr>
            <w:tcW w:w="460" w:type="pct"/>
            <w:vAlign w:val="center"/>
          </w:tcPr>
          <w:p w14:paraId="49FB03F0"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8</w:t>
            </w:r>
          </w:p>
        </w:tc>
        <w:tc>
          <w:tcPr>
            <w:tcW w:w="507" w:type="pct"/>
            <w:vAlign w:val="center"/>
          </w:tcPr>
          <w:p w14:paraId="3DD2E542"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c>
          <w:tcPr>
            <w:tcW w:w="463" w:type="pct"/>
            <w:vAlign w:val="center"/>
          </w:tcPr>
          <w:p w14:paraId="5EB1E200"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5</w:t>
            </w:r>
          </w:p>
        </w:tc>
        <w:tc>
          <w:tcPr>
            <w:tcW w:w="521" w:type="pct"/>
            <w:vAlign w:val="center"/>
          </w:tcPr>
          <w:p w14:paraId="69380FB6"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c>
          <w:tcPr>
            <w:tcW w:w="510" w:type="pct"/>
            <w:vAlign w:val="center"/>
          </w:tcPr>
          <w:p w14:paraId="26BFA0AC"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3</w:t>
            </w:r>
          </w:p>
        </w:tc>
        <w:tc>
          <w:tcPr>
            <w:tcW w:w="430" w:type="pct"/>
            <w:vAlign w:val="center"/>
          </w:tcPr>
          <w:p w14:paraId="20839B03"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c>
          <w:tcPr>
            <w:tcW w:w="486" w:type="pct"/>
            <w:vAlign w:val="center"/>
          </w:tcPr>
          <w:p w14:paraId="73DE823A" w14:textId="77777777" w:rsidR="005307B5" w:rsidRPr="002E5315" w:rsidRDefault="005307B5" w:rsidP="005307B5">
            <w:pPr>
              <w:jc w:val="center"/>
              <w:cnfStyle w:val="000000100000" w:firstRow="0" w:lastRow="0" w:firstColumn="0" w:lastColumn="0" w:oddVBand="0" w:evenVBand="0" w:oddHBand="1" w:evenHBand="0" w:firstRowFirstColumn="0" w:firstRowLastColumn="0" w:lastRowFirstColumn="0" w:lastRowLastColumn="0"/>
              <w:rPr>
                <w:sz w:val="16"/>
                <w:szCs w:val="16"/>
              </w:rPr>
            </w:pPr>
            <w:r w:rsidRPr="002E5315">
              <w:rPr>
                <w:sz w:val="16"/>
                <w:szCs w:val="16"/>
              </w:rPr>
              <w:t>0</w:t>
            </w:r>
          </w:p>
        </w:tc>
      </w:tr>
      <w:tr w:rsidR="005307B5" w:rsidRPr="002E5315" w14:paraId="4F91B317" w14:textId="77777777" w:rsidTr="00CA60CA">
        <w:trPr>
          <w:trHeight w:val="359"/>
        </w:trPr>
        <w:tc>
          <w:tcPr>
            <w:cnfStyle w:val="001000000000" w:firstRow="0" w:lastRow="0" w:firstColumn="1" w:lastColumn="0" w:oddVBand="0" w:evenVBand="0" w:oddHBand="0" w:evenHBand="0" w:firstRowFirstColumn="0" w:firstRowLastColumn="0" w:lastRowFirstColumn="0" w:lastRowLastColumn="0"/>
            <w:tcW w:w="694" w:type="pct"/>
            <w:vAlign w:val="center"/>
          </w:tcPr>
          <w:p w14:paraId="1B543855" w14:textId="0031392D" w:rsidR="009B50F8" w:rsidRPr="002E5315" w:rsidRDefault="005307B5" w:rsidP="00CA60CA">
            <w:pPr>
              <w:jc w:val="left"/>
              <w:rPr>
                <w:bCs w:val="0"/>
                <w:i/>
                <w:sz w:val="16"/>
                <w:szCs w:val="16"/>
              </w:rPr>
            </w:pPr>
            <w:r w:rsidRPr="002E5315">
              <w:rPr>
                <w:b w:val="0"/>
                <w:i/>
                <w:sz w:val="16"/>
                <w:szCs w:val="16"/>
              </w:rPr>
              <w:t>Porezna tajna</w:t>
            </w:r>
          </w:p>
        </w:tc>
        <w:tc>
          <w:tcPr>
            <w:tcW w:w="417" w:type="pct"/>
            <w:vAlign w:val="center"/>
          </w:tcPr>
          <w:p w14:paraId="0901C3A3"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11</w:t>
            </w:r>
          </w:p>
        </w:tc>
        <w:tc>
          <w:tcPr>
            <w:tcW w:w="512" w:type="pct"/>
            <w:vAlign w:val="center"/>
          </w:tcPr>
          <w:p w14:paraId="23BB04E1"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5</w:t>
            </w:r>
          </w:p>
        </w:tc>
        <w:tc>
          <w:tcPr>
            <w:tcW w:w="460" w:type="pct"/>
            <w:vAlign w:val="center"/>
          </w:tcPr>
          <w:p w14:paraId="58B6FC36"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6</w:t>
            </w:r>
          </w:p>
        </w:tc>
        <w:tc>
          <w:tcPr>
            <w:tcW w:w="507" w:type="pct"/>
            <w:vAlign w:val="center"/>
          </w:tcPr>
          <w:p w14:paraId="7EF6809A"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0</w:t>
            </w:r>
          </w:p>
        </w:tc>
        <w:tc>
          <w:tcPr>
            <w:tcW w:w="463" w:type="pct"/>
            <w:vAlign w:val="center"/>
          </w:tcPr>
          <w:p w14:paraId="51B07DBE"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2</w:t>
            </w:r>
          </w:p>
        </w:tc>
        <w:tc>
          <w:tcPr>
            <w:tcW w:w="521" w:type="pct"/>
            <w:vAlign w:val="center"/>
          </w:tcPr>
          <w:p w14:paraId="7AD4CE24"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3</w:t>
            </w:r>
          </w:p>
        </w:tc>
        <w:tc>
          <w:tcPr>
            <w:tcW w:w="510" w:type="pct"/>
            <w:vAlign w:val="center"/>
          </w:tcPr>
          <w:p w14:paraId="50F53F67"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1</w:t>
            </w:r>
          </w:p>
        </w:tc>
        <w:tc>
          <w:tcPr>
            <w:tcW w:w="430" w:type="pct"/>
            <w:vAlign w:val="center"/>
          </w:tcPr>
          <w:p w14:paraId="6B8E23DD"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0</w:t>
            </w:r>
          </w:p>
        </w:tc>
        <w:tc>
          <w:tcPr>
            <w:tcW w:w="486" w:type="pct"/>
            <w:vAlign w:val="center"/>
          </w:tcPr>
          <w:p w14:paraId="4702C022" w14:textId="77777777" w:rsidR="005307B5" w:rsidRPr="002E5315" w:rsidRDefault="005307B5" w:rsidP="005307B5">
            <w:pPr>
              <w:jc w:val="center"/>
              <w:cnfStyle w:val="000000000000" w:firstRow="0" w:lastRow="0" w:firstColumn="0" w:lastColumn="0" w:oddVBand="0" w:evenVBand="0" w:oddHBand="0" w:evenHBand="0" w:firstRowFirstColumn="0" w:firstRowLastColumn="0" w:lastRowFirstColumn="0" w:lastRowLastColumn="0"/>
              <w:rPr>
                <w:bCs/>
                <w:iCs/>
                <w:sz w:val="16"/>
                <w:szCs w:val="16"/>
              </w:rPr>
            </w:pPr>
            <w:r w:rsidRPr="002E5315">
              <w:rPr>
                <w:bCs/>
                <w:iCs/>
                <w:sz w:val="16"/>
                <w:szCs w:val="16"/>
              </w:rPr>
              <w:t>0</w:t>
            </w:r>
          </w:p>
        </w:tc>
      </w:tr>
    </w:tbl>
    <w:p w14:paraId="239051EC" w14:textId="50418070" w:rsidR="005307B5" w:rsidRPr="002E5315" w:rsidRDefault="005307B5" w:rsidP="00F635D3">
      <w:pPr>
        <w:pStyle w:val="Tijeloteksta-uvlaka3"/>
        <w:spacing w:after="240"/>
        <w:ind w:left="0" w:firstLine="0"/>
        <w:jc w:val="left"/>
        <w:rPr>
          <w:rFonts w:cs="Arial"/>
          <w:i/>
          <w:sz w:val="20"/>
          <w:lang w:val="hr-HR"/>
        </w:rPr>
      </w:pPr>
      <w:r w:rsidRPr="002E5315">
        <w:rPr>
          <w:rFonts w:cs="Arial"/>
          <w:i/>
          <w:sz w:val="20"/>
          <w:lang w:val="hr-HR"/>
        </w:rPr>
        <w:t>Napomena: obuhvaćene su žalbe koje su podnesene 2019. i žalbe iz ranijih godina; podaci se odnose na najčešće razloge odbijanja i ne obuhvaćaju sve riješene žalbe.</w:t>
      </w:r>
    </w:p>
    <w:p w14:paraId="72A39908" w14:textId="77777777" w:rsidR="005307B5" w:rsidRPr="002E5315" w:rsidRDefault="005307B5" w:rsidP="003A188D">
      <w:pPr>
        <w:pStyle w:val="Naslov3"/>
      </w:pPr>
      <w:bookmarkStart w:id="29" w:name="_Toc36308934"/>
      <w:r w:rsidRPr="002E5315">
        <w:t>Osobni podaci</w:t>
      </w:r>
      <w:bookmarkEnd w:id="29"/>
    </w:p>
    <w:p w14:paraId="41E5C1F0" w14:textId="77777777" w:rsidR="00633D93" w:rsidRDefault="00DA7FE4" w:rsidP="00DA7FE4">
      <w:pPr>
        <w:shd w:val="clear" w:color="auto" w:fill="FFFFFF" w:themeFill="background1"/>
        <w:rPr>
          <w:szCs w:val="23"/>
        </w:rPr>
      </w:pPr>
      <w:r w:rsidRPr="002E5315">
        <w:rPr>
          <w:color w:val="000000"/>
          <w:szCs w:val="23"/>
        </w:rPr>
        <w:t xml:space="preserve">Ured povjerenika je tijekom 2019. zaprimio </w:t>
      </w:r>
      <w:r w:rsidRPr="002E5315">
        <w:rPr>
          <w:color w:val="000000" w:themeColor="text1"/>
          <w:szCs w:val="23"/>
        </w:rPr>
        <w:t>70</w:t>
      </w:r>
      <w:r w:rsidR="00954DB8" w:rsidRPr="002E5315">
        <w:rPr>
          <w:color w:val="000000" w:themeColor="text1"/>
          <w:szCs w:val="23"/>
        </w:rPr>
        <w:t xml:space="preserve"> </w:t>
      </w:r>
      <w:r w:rsidRPr="002E5315">
        <w:rPr>
          <w:color w:val="000000" w:themeColor="text1"/>
          <w:szCs w:val="23"/>
        </w:rPr>
        <w:t>žalbi</w:t>
      </w:r>
      <w:r w:rsidRPr="002E5315">
        <w:rPr>
          <w:color w:val="000000"/>
          <w:szCs w:val="23"/>
        </w:rPr>
        <w:t xml:space="preserve"> u kojima su osobni podaci korišteni kao zakonsko ograničenje te je taj razlog </w:t>
      </w:r>
      <w:r w:rsidRPr="002E5315">
        <w:rPr>
          <w:b/>
          <w:color w:val="000000"/>
          <w:szCs w:val="23"/>
        </w:rPr>
        <w:t xml:space="preserve">najčešće korišteno zakonsko ograničenje u žalbenim postupcima u 2019. </w:t>
      </w:r>
      <w:r w:rsidRPr="002E5315">
        <w:rPr>
          <w:color w:val="000000"/>
          <w:szCs w:val="23"/>
        </w:rPr>
        <w:t xml:space="preserve">Prema podacima iz izvješća koja su tijela dostavila Povjereniku, vidljivo je </w:t>
      </w:r>
      <w:r w:rsidRPr="002E5315">
        <w:rPr>
          <w:color w:val="000000"/>
          <w:szCs w:val="23"/>
        </w:rPr>
        <w:lastRenderedPageBreak/>
        <w:t xml:space="preserve">da su osobni podaci, kao i prethodne godine, najčešće korišteno zakonsko ograničenje </w:t>
      </w:r>
      <w:r w:rsidRPr="002E5315">
        <w:rPr>
          <w:szCs w:val="23"/>
        </w:rPr>
        <w:t>od strane tijela javne vlasti i to u 168 slučajeva, u odnosu na koje je tijekom 2019. izjavljeno 70 žalbi (41,67%)</w:t>
      </w:r>
      <w:r w:rsidR="00633D93">
        <w:rPr>
          <w:szCs w:val="23"/>
        </w:rPr>
        <w:t>.</w:t>
      </w:r>
    </w:p>
    <w:p w14:paraId="1424D193" w14:textId="77777777" w:rsidR="00633D93" w:rsidRDefault="00DA7FE4" w:rsidP="00DA7FE4">
      <w:pPr>
        <w:shd w:val="clear" w:color="auto" w:fill="FFFFFF" w:themeFill="background1"/>
        <w:rPr>
          <w:szCs w:val="23"/>
        </w:rPr>
      </w:pPr>
      <w:r w:rsidRPr="002E5315">
        <w:rPr>
          <w:szCs w:val="23"/>
        </w:rPr>
        <w:t>Tijekom 2019. je u rješavanju bilo 113</w:t>
      </w:r>
      <w:r w:rsidR="00954DB8" w:rsidRPr="002E5315">
        <w:rPr>
          <w:szCs w:val="23"/>
        </w:rPr>
        <w:t xml:space="preserve"> </w:t>
      </w:r>
      <w:r w:rsidRPr="002E5315">
        <w:rPr>
          <w:szCs w:val="23"/>
        </w:rPr>
        <w:t>žalbenih predmeta u kojima su</w:t>
      </w:r>
      <w:r w:rsidR="00954DB8" w:rsidRPr="002E5315">
        <w:rPr>
          <w:szCs w:val="23"/>
        </w:rPr>
        <w:t xml:space="preserve"> </w:t>
      </w:r>
      <w:r w:rsidRPr="002E5315">
        <w:rPr>
          <w:szCs w:val="23"/>
        </w:rPr>
        <w:t>tijela javne vlasti koristila osobne podatke kao zakonski razlog odbijanja zahtjeva za pristup informacijama, od čega ih je riješeno 79 (69,11%)</w:t>
      </w:r>
      <w:r w:rsidR="00633D93">
        <w:rPr>
          <w:szCs w:val="23"/>
        </w:rPr>
        <w:t>.</w:t>
      </w:r>
    </w:p>
    <w:p w14:paraId="3A49F5A1" w14:textId="264DDD05" w:rsidR="00DA7FE4" w:rsidRPr="002E5315" w:rsidRDefault="00DA7FE4" w:rsidP="00DA7FE4">
      <w:pPr>
        <w:shd w:val="clear" w:color="auto" w:fill="FFFFFF" w:themeFill="background1"/>
        <w:rPr>
          <w:szCs w:val="23"/>
        </w:rPr>
      </w:pPr>
      <w:r w:rsidRPr="002E5315">
        <w:rPr>
          <w:szCs w:val="23"/>
        </w:rPr>
        <w:t>Od ukupno riješenih 79 predmeta, u 18 (22,78%) je potvrđena odluka tijela javne vlasti, a u 58 (73,41%) je poništeno rješenje prvostupanjskog tijela kao nezakonito te ili omogućen pristup informaciji u 47 (59,49%)</w:t>
      </w:r>
      <w:r w:rsidR="00954DB8" w:rsidRPr="002E5315">
        <w:rPr>
          <w:szCs w:val="23"/>
        </w:rPr>
        <w:t xml:space="preserve"> </w:t>
      </w:r>
      <w:r w:rsidRPr="002E5315">
        <w:rPr>
          <w:szCs w:val="23"/>
        </w:rPr>
        <w:t>slučajeva ili je predmet vraćen na ponovni postupak u 1 (13,92%) slučaju. U 2 predmeta je nakon izjavljene žalbe tijelo javne vlasti samo promijenilo svoju odluku te je u 1 slučaju odbačena žalba.</w:t>
      </w:r>
    </w:p>
    <w:p w14:paraId="0EC23BB6" w14:textId="77777777" w:rsidR="00633D93" w:rsidRDefault="00DA7FE4" w:rsidP="00DA7FE4">
      <w:pPr>
        <w:shd w:val="clear" w:color="auto" w:fill="FFFFFF" w:themeFill="background1"/>
        <w:rPr>
          <w:color w:val="000000"/>
          <w:szCs w:val="23"/>
        </w:rPr>
      </w:pPr>
      <w:r w:rsidRPr="002E5315">
        <w:rPr>
          <w:szCs w:val="23"/>
        </w:rPr>
        <w:t xml:space="preserve">Navedeni podaci ukazuju da su </w:t>
      </w:r>
      <w:r w:rsidRPr="002E5315">
        <w:rPr>
          <w:b/>
          <w:bCs/>
          <w:szCs w:val="23"/>
        </w:rPr>
        <w:t>u 3/4 slučajeva</w:t>
      </w:r>
      <w:r w:rsidRPr="002E5315">
        <w:rPr>
          <w:b/>
          <w:szCs w:val="23"/>
        </w:rPr>
        <w:t xml:space="preserve"> tijela javne vlasti neopravdano uskratila informaciju</w:t>
      </w:r>
      <w:r w:rsidRPr="002E5315">
        <w:rPr>
          <w:szCs w:val="23"/>
        </w:rPr>
        <w:t xml:space="preserve"> </w:t>
      </w:r>
      <w:r w:rsidRPr="002E5315">
        <w:rPr>
          <w:b/>
          <w:szCs w:val="23"/>
        </w:rPr>
        <w:t>po osnovi osobnih podataka</w:t>
      </w:r>
      <w:r w:rsidRPr="002E5315">
        <w:rPr>
          <w:szCs w:val="23"/>
        </w:rPr>
        <w:t xml:space="preserve">, pri čemu najčešće nisu uzimala u obzir odredbu članka 15. stavka 5. ZPPI-ja, koja nalaže da se djelomično omogući </w:t>
      </w:r>
      <w:r w:rsidRPr="002E5315">
        <w:rPr>
          <w:color w:val="000000"/>
          <w:szCs w:val="23"/>
        </w:rPr>
        <w:t>pristup informaciji na način da se zaštite određeni dijelovi koji sadrže osobne podatke i koji podliježu ograničenju, a da se pristup ostalom dijelu informacije omogući</w:t>
      </w:r>
      <w:r w:rsidR="00633D93">
        <w:rPr>
          <w:color w:val="000000"/>
          <w:szCs w:val="23"/>
        </w:rPr>
        <w:t>.</w:t>
      </w:r>
    </w:p>
    <w:p w14:paraId="49F8A677" w14:textId="6388B630" w:rsidR="005307B5" w:rsidRPr="002E5315" w:rsidRDefault="00DA7FE4" w:rsidP="00DA7FE4">
      <w:pPr>
        <w:shd w:val="clear" w:color="auto" w:fill="FFFFFF" w:themeFill="background1"/>
        <w:rPr>
          <w:szCs w:val="23"/>
        </w:rPr>
      </w:pPr>
      <w:r w:rsidRPr="002E5315">
        <w:rPr>
          <w:color w:val="000000"/>
          <w:szCs w:val="23"/>
        </w:rPr>
        <w:t xml:space="preserve">Razmatranjem odluka po žalbama vidljivo je da se u predmetima kojima se zahtjevi odbijaju zbog zaštite osobnih podataka, u većini slučajeva radi o javnim podacima kojima se pristup neopravdano uskraćuje (informacije o isplatama sudskim vještacima, informacije o natječajnoj dokumentaciji za pojedina radna mjesta u tijelima javne vlasti, popis zaposlenih osoba u tijelu javne vlasti i radna mjesta, </w:t>
      </w:r>
      <w:r w:rsidRPr="002E5315">
        <w:rPr>
          <w:szCs w:val="23"/>
        </w:rPr>
        <w:t>imena i prezimena svih osoba koje su primile uplate u određenoj godini za rad u nadzornom odboru, imena i prezimena članova stručnog povjerenstva za ocjenjivanje prijavljenih projekata na natječaju, rješenja o rasporedu na radno mjesto, zapisnik o provedenom inspekcijskom nadzoru,</w:t>
      </w:r>
      <w:r w:rsidR="00954DB8" w:rsidRPr="002E5315">
        <w:rPr>
          <w:szCs w:val="23"/>
        </w:rPr>
        <w:t xml:space="preserve"> </w:t>
      </w:r>
      <w:r w:rsidRPr="002E5315">
        <w:rPr>
          <w:szCs w:val="23"/>
        </w:rPr>
        <w:t>informacije o bruto plaći zaposlenih, ugovori sklopljeni na temelju provedenog postupka za javne nabave sukladno Planu nabave i druge informacije</w:t>
      </w:r>
      <w:r w:rsidR="005307B5" w:rsidRPr="002E5315">
        <w:rPr>
          <w:szCs w:val="23"/>
        </w:rPr>
        <w:t>).</w:t>
      </w:r>
    </w:p>
    <w:p w14:paraId="63170E9A" w14:textId="72309FB3" w:rsidR="005307B5" w:rsidRPr="002E5315" w:rsidRDefault="005307B5" w:rsidP="003A188D">
      <w:pPr>
        <w:pStyle w:val="Naslov3"/>
      </w:pPr>
      <w:bookmarkStart w:id="30" w:name="_Toc36308935"/>
      <w:r w:rsidRPr="002E5315">
        <w:t>Poslovna, profesionalna i porezna tajna</w:t>
      </w:r>
      <w:bookmarkEnd w:id="30"/>
      <w:r w:rsidRPr="002E5315">
        <w:t xml:space="preserve"> </w:t>
      </w:r>
    </w:p>
    <w:p w14:paraId="4FEF7ED1" w14:textId="68B8583C" w:rsidR="008C26E6" w:rsidRPr="002E5315" w:rsidRDefault="008C26E6" w:rsidP="008C26E6">
      <w:pPr>
        <w:shd w:val="clear" w:color="auto" w:fill="FFFFFF" w:themeFill="background1"/>
        <w:rPr>
          <w:rFonts w:cs="Arial"/>
          <w:szCs w:val="23"/>
        </w:rPr>
      </w:pPr>
      <w:r w:rsidRPr="002E5315">
        <w:rPr>
          <w:rFonts w:cs="Arial"/>
          <w:szCs w:val="23"/>
        </w:rPr>
        <w:t>Iz dostavljenih izvješća tijela javne vlasti proizlazi da su tijekom 2019., u 141</w:t>
      </w:r>
      <w:r w:rsidR="00954DB8" w:rsidRPr="002E5315">
        <w:rPr>
          <w:rFonts w:cs="Arial"/>
          <w:szCs w:val="23"/>
        </w:rPr>
        <w:t xml:space="preserve"> </w:t>
      </w:r>
      <w:r w:rsidRPr="002E5315">
        <w:rPr>
          <w:rFonts w:cs="Arial"/>
          <w:szCs w:val="23"/>
        </w:rPr>
        <w:t>slučaju ograničila pristup informaciji iz razloga što ista predstavlja poslovnu ili profesionalnu tajnu, u odnosu na koje je izjavljena 61</w:t>
      </w:r>
      <w:r w:rsidR="00954DB8" w:rsidRPr="002E5315">
        <w:rPr>
          <w:rFonts w:cs="Arial"/>
          <w:szCs w:val="23"/>
        </w:rPr>
        <w:t xml:space="preserve"> </w:t>
      </w:r>
      <w:r w:rsidRPr="002E5315">
        <w:rPr>
          <w:rFonts w:cs="Arial"/>
          <w:szCs w:val="23"/>
        </w:rPr>
        <w:t>žalba u 2019., tako da je Povjerenik zajedno s predmetima koji su preneseni iz prethodnog perioda, imao u radu 81 žalbu.</w:t>
      </w:r>
    </w:p>
    <w:p w14:paraId="31E0F091" w14:textId="77777777" w:rsidR="008C26E6" w:rsidRPr="002E5315" w:rsidRDefault="008C26E6" w:rsidP="008C26E6">
      <w:pPr>
        <w:shd w:val="clear" w:color="auto" w:fill="FFFFFF" w:themeFill="background1"/>
        <w:rPr>
          <w:rFonts w:cs="Arial"/>
          <w:szCs w:val="23"/>
        </w:rPr>
      </w:pPr>
      <w:r w:rsidRPr="002E5315">
        <w:rPr>
          <w:rFonts w:cs="Arial"/>
          <w:szCs w:val="23"/>
        </w:rPr>
        <w:t>U 11 predmeta pravo na pristup informacijama ograničila su trgovačka društva: Zračna luka Dubrovnik d.o.o., Odašiljači i veze d.o.o., Hrvatska pošta d.d., Croatia Airlines d.d., Hrvatska poštanska banka d.d. i Autocesta Zagreb-Macelj d.o.o.</w:t>
      </w:r>
    </w:p>
    <w:p w14:paraId="1D79BFF2" w14:textId="77777777" w:rsidR="008C26E6" w:rsidRPr="002E5315" w:rsidRDefault="008C26E6" w:rsidP="008C26E6">
      <w:pPr>
        <w:shd w:val="clear" w:color="auto" w:fill="FFFFFF" w:themeFill="background1"/>
        <w:rPr>
          <w:rFonts w:cs="Arial"/>
          <w:szCs w:val="23"/>
        </w:rPr>
      </w:pPr>
      <w:r w:rsidRPr="002E5315">
        <w:rPr>
          <w:rFonts w:cs="Arial"/>
          <w:szCs w:val="23"/>
        </w:rPr>
        <w:t xml:space="preserve">Trgovačka društva koja su obveznici primjene ZPPI-ja, primjenjivala su zakonsko ograničenje poslovne tajne kad se radilo primjerice o traženju informacija o isplatama javnim bilježnicima i odvjetničkim uredima, ugovorima, zapisnicima sa sjednice nadzornog odbora i dokumentaciji kojom se revizorski odbor informirao o radu društva, dokumentaciji o nabavi kamera za protupožarni nadzor, Poslovniku o poslovnoj tajni, ugovoru o nabavci zrakoplova, ugovoru o </w:t>
      </w:r>
      <w:r w:rsidRPr="002E5315">
        <w:rPr>
          <w:rFonts w:cs="Arial"/>
          <w:szCs w:val="23"/>
        </w:rPr>
        <w:lastRenderedPageBreak/>
        <w:t>nabavi usluge zakupa posebnog formata oglašavanja na TV-u te uvidu u izrađenu projektnu dokumentaciju.</w:t>
      </w:r>
    </w:p>
    <w:p w14:paraId="62C57583" w14:textId="77777777" w:rsidR="008C26E6" w:rsidRPr="002E5315" w:rsidRDefault="008C26E6" w:rsidP="008C26E6">
      <w:pPr>
        <w:shd w:val="clear" w:color="auto" w:fill="FFFFFF" w:themeFill="background1"/>
        <w:rPr>
          <w:rFonts w:cs="Arial"/>
          <w:szCs w:val="23"/>
        </w:rPr>
      </w:pPr>
      <w:r w:rsidRPr="002E5315">
        <w:rPr>
          <w:rFonts w:cs="Arial"/>
          <w:szCs w:val="23"/>
        </w:rPr>
        <w:t>S obzirom da je tijekom 2019. Povjerenik zaprimio velik broj upita trgovačkih društava, obveznika postupanja po odredbama ZPPI-ja, koja su zaprimila zahtjev za pristup informacijama korisnika, kojim su zatraženi zapisnici sa sjednica nadzornih odbora, Povjerenik je na internetskoj stranici objavio načelne smjernice o rješavanju takve vrste zahtjeva, što je doprinijelo da se manji broj zahtjeva odbije, a samim time da se podnese manji broj žalbi na takvu vrstu traženja.</w:t>
      </w:r>
    </w:p>
    <w:p w14:paraId="4C3A112F" w14:textId="58AD3DBA" w:rsidR="008C26E6" w:rsidRPr="002E5315" w:rsidRDefault="008C26E6" w:rsidP="008C26E6">
      <w:pPr>
        <w:shd w:val="clear" w:color="auto" w:fill="FFFFFF" w:themeFill="background1"/>
        <w:rPr>
          <w:rFonts w:cstheme="minorHAnsi"/>
          <w:szCs w:val="23"/>
        </w:rPr>
      </w:pPr>
      <w:r w:rsidRPr="002E5315">
        <w:rPr>
          <w:rFonts w:cstheme="minorHAnsi"/>
          <w:szCs w:val="23"/>
        </w:rPr>
        <w:t>Tijekom 2019. u odnosu na 81 predmet u radu, 57 riješenih predmeta se odnosi na poslovnu tajnu kao zakonsko ograničenje. U</w:t>
      </w:r>
      <w:r w:rsidR="00954DB8" w:rsidRPr="002E5315">
        <w:rPr>
          <w:rFonts w:cstheme="minorHAnsi"/>
          <w:szCs w:val="23"/>
        </w:rPr>
        <w:t xml:space="preserve"> </w:t>
      </w:r>
      <w:r w:rsidRPr="002E5315">
        <w:rPr>
          <w:rFonts w:cstheme="minorHAnsi"/>
          <w:b/>
          <w:szCs w:val="23"/>
        </w:rPr>
        <w:t>49 (85,96%) predmeta rješenje je poništeno</w:t>
      </w:r>
      <w:r w:rsidRPr="002E5315">
        <w:rPr>
          <w:rFonts w:cstheme="minorHAnsi"/>
          <w:szCs w:val="23"/>
        </w:rPr>
        <w:t>, što je nešto više nego u 2018. (45 ili 83,33%). Od tih 49</w:t>
      </w:r>
      <w:r w:rsidR="00954DB8" w:rsidRPr="002E5315">
        <w:rPr>
          <w:rFonts w:cstheme="minorHAnsi"/>
          <w:szCs w:val="23"/>
        </w:rPr>
        <w:t xml:space="preserve"> </w:t>
      </w:r>
      <w:r w:rsidRPr="002E5315">
        <w:rPr>
          <w:rFonts w:cstheme="minorHAnsi"/>
          <w:szCs w:val="23"/>
        </w:rPr>
        <w:t xml:space="preserve">riješenih žalbi, u 43 slučaja je poništeno rješenje i omogućen pristup informaciji, a u 6 slučajeva poništeno rješenje i predmet vraćen na ponovni postupak, </w:t>
      </w:r>
      <w:r w:rsidRPr="002E5315">
        <w:rPr>
          <w:rFonts w:cstheme="minorHAnsi"/>
          <w:b/>
          <w:szCs w:val="23"/>
        </w:rPr>
        <w:t>jer su se tijela nezakonito pozivala na poslovnu tajnu</w:t>
      </w:r>
      <w:r w:rsidRPr="002E5315">
        <w:rPr>
          <w:rFonts w:cstheme="minorHAnsi"/>
          <w:szCs w:val="23"/>
        </w:rPr>
        <w:t xml:space="preserve"> i tako ograničila korisniku pravo na pristup informaciji. Vidljivo je da se nije vodilo računa o izričitoj zakonskoj odredbi članka 16. stavka 3. ZPPI-ja, kojom je određeno da kad se radi o raspolaganju javnim sredstvima, informacije trebaju biti javno dostupne i bez provedbe testa razmjernosti i javnog interesa. U 5 (8,77%) slučajeva je potvrđeno prvostupanjsko rješenje, u 3 (5,26%) slučaja je tijelo javne vlasti promijenilo odluku, dok je u 2 (3,50%) predmeta postupak obustavljen.</w:t>
      </w:r>
    </w:p>
    <w:p w14:paraId="6AB215CF" w14:textId="0E7CBB89" w:rsidR="008C26E6" w:rsidRPr="002E5315" w:rsidRDefault="008C26E6" w:rsidP="008C26E6">
      <w:pPr>
        <w:shd w:val="clear" w:color="auto" w:fill="FFFFFF" w:themeFill="background1"/>
        <w:rPr>
          <w:rFonts w:cstheme="minorHAnsi"/>
          <w:szCs w:val="23"/>
        </w:rPr>
      </w:pPr>
      <w:r w:rsidRPr="002E5315">
        <w:rPr>
          <w:rFonts w:cstheme="minorHAnsi"/>
          <w:szCs w:val="23"/>
        </w:rPr>
        <w:t>Uočeno je da prilikom rješavanja zahtjeva tijela često ne uvažavaju da određeni dijelovi informacije mogu sadržavati podatke koji predstavljaju poslovnu tajnu i čije otkrivanje može naštetiti gospodarskom interesu, no to ne isključuje omogućavanje pristupa ostalom dijelu informacije. Osim toga, tijela bi morala voditi računa o tome koji podaci mogu predstavljati poslovnu tajnu na način kako je uređuje Zakon o zaštiti tajnosti podataka i razgraničiti ih od osobnih podataka. I dalje se uočava da</w:t>
      </w:r>
      <w:r w:rsidR="00954DB8" w:rsidRPr="002E5315">
        <w:rPr>
          <w:rFonts w:cstheme="minorHAnsi"/>
          <w:szCs w:val="23"/>
        </w:rPr>
        <w:t xml:space="preserve"> </w:t>
      </w:r>
      <w:r w:rsidRPr="002E5315">
        <w:rPr>
          <w:rFonts w:cstheme="minorHAnsi"/>
          <w:szCs w:val="23"/>
        </w:rPr>
        <w:t>tijela javne vlasti ne uzimaju u obzir da informacije o raspolaganju javnim sredstvima trebaju biti dostupne i bez provedbe testa razmjernosti i javnog interesa, osobito ako se radi o isplatama od strane tijela javne vlasti.</w:t>
      </w:r>
    </w:p>
    <w:p w14:paraId="6B6321B9" w14:textId="77777777" w:rsidR="00633D93" w:rsidRDefault="008C26E6" w:rsidP="008C26E6">
      <w:pPr>
        <w:shd w:val="clear" w:color="auto" w:fill="FFFFFF" w:themeFill="background1"/>
        <w:rPr>
          <w:rFonts w:cstheme="minorHAnsi"/>
          <w:szCs w:val="23"/>
        </w:rPr>
      </w:pPr>
      <w:r w:rsidRPr="002E5315">
        <w:rPr>
          <w:rFonts w:cstheme="minorHAnsi"/>
          <w:szCs w:val="23"/>
        </w:rPr>
        <w:t>S obzirom da je višegodišnjem praćenjem postupanja u žalbenim predmetima uočeno kako poslovna tajna spada među najčešće razloge ograničenja iz članka 15. ZPPI-ja te da tijela javne vlasti u tim slučajevima uglavnom nisu ispravno provodila postupak povodom zahtjeva za pristup informacijama, a što je rezultiralo nezakonitim rješenjima, Povjerenik je tijekom 2019. donio Smjernice o pristupu informacijama i poslovnoj tajni koje su objavljene na internetskoj stranici Povjerenika i dodatno poslane tijelima javne vlasti koja prema Zakonu o zaštiti tajnosti podataka, mogu imati poslovnu tajnu. Smjernice su namijenjene službenicima za informiranje u tijelima javne vlasti, kao i ostalim službenicima uključenima u postupak ostvarivanja prava na pristup informacijama, kako bi olakšale provedbu postupka po zahtjevu za pristup informacijama, te doprinijele zakonitom i efikasnom odlučivanju</w:t>
      </w:r>
      <w:r w:rsidR="00633D93">
        <w:rPr>
          <w:rFonts w:cstheme="minorHAnsi"/>
          <w:szCs w:val="23"/>
        </w:rPr>
        <w:t>.</w:t>
      </w:r>
    </w:p>
    <w:p w14:paraId="13332971" w14:textId="4C797AA6" w:rsidR="005307B5" w:rsidRPr="002E5315" w:rsidRDefault="008C26E6" w:rsidP="008C26E6">
      <w:pPr>
        <w:shd w:val="clear" w:color="auto" w:fill="FFFFFF" w:themeFill="background1"/>
        <w:rPr>
          <w:rFonts w:cstheme="minorHAnsi"/>
          <w:szCs w:val="23"/>
        </w:rPr>
      </w:pPr>
      <w:r w:rsidRPr="002E5315">
        <w:rPr>
          <w:rFonts w:cstheme="minorHAnsi"/>
          <w:color w:val="000000"/>
          <w:szCs w:val="23"/>
        </w:rPr>
        <w:t>U odnosu na poreznu tajnu je</w:t>
      </w:r>
      <w:r w:rsidR="00954DB8" w:rsidRPr="002E5315">
        <w:rPr>
          <w:rFonts w:cstheme="minorHAnsi"/>
          <w:color w:val="000000"/>
          <w:szCs w:val="23"/>
        </w:rPr>
        <w:t xml:space="preserve"> </w:t>
      </w:r>
      <w:r w:rsidRPr="002E5315">
        <w:rPr>
          <w:rFonts w:cstheme="minorHAnsi"/>
          <w:color w:val="000000"/>
          <w:szCs w:val="23"/>
        </w:rPr>
        <w:t xml:space="preserve">u 2019. zaprimljeno 7 žalbi, od kojih se u 6 slučajeva Ministarstvo financija pozvalo na to zakonsko ograničenje i u jednom slučaju Grad </w:t>
      </w:r>
      <w:r w:rsidRPr="002E5315">
        <w:rPr>
          <w:rFonts w:cstheme="minorHAnsi"/>
          <w:szCs w:val="23"/>
        </w:rPr>
        <w:t xml:space="preserve">Kraljevica. U izvještajnom razdoblju je ukupno bilo u radu 11 žalbi, od kojih je riješeno 6 (54,55%). U 2 slučaja je žalba odbijena kao neosnovana (Ministarstvo financija), u 1 (16,67%) (žalba poništena i predmet vraćen na ponovni postupak (Ministarstvo financija) te je u 3 (50%) slučaja rješenje poništeno i </w:t>
      </w:r>
      <w:r w:rsidRPr="002E5315">
        <w:rPr>
          <w:szCs w:val="23"/>
        </w:rPr>
        <w:t>naloženo omogućavanje pristupa informaciji - 2 (33,33%) Ministarstva financija i 1 Grada Kraljevice</w:t>
      </w:r>
      <w:r w:rsidR="005307B5" w:rsidRPr="002E5315">
        <w:rPr>
          <w:szCs w:val="23"/>
        </w:rPr>
        <w:t>.</w:t>
      </w:r>
    </w:p>
    <w:p w14:paraId="2CC97DB6" w14:textId="59F611A9" w:rsidR="005307B5" w:rsidRPr="002E5315" w:rsidRDefault="005307B5" w:rsidP="003A188D">
      <w:pPr>
        <w:pStyle w:val="Naslov3"/>
      </w:pPr>
      <w:bookmarkStart w:id="31" w:name="_Toc36308936"/>
      <w:r w:rsidRPr="002E5315">
        <w:lastRenderedPageBreak/>
        <w:t>Zlouporaba prava</w:t>
      </w:r>
      <w:bookmarkEnd w:id="31"/>
    </w:p>
    <w:p w14:paraId="54192542" w14:textId="77777777" w:rsidR="008C26E6" w:rsidRPr="002E5315" w:rsidRDefault="008C26E6" w:rsidP="008C26E6">
      <w:pPr>
        <w:shd w:val="clear" w:color="auto" w:fill="FFFFFF" w:themeFill="background1"/>
        <w:rPr>
          <w:szCs w:val="23"/>
        </w:rPr>
      </w:pPr>
      <w:r w:rsidRPr="002E5315">
        <w:rPr>
          <w:color w:val="000000"/>
          <w:szCs w:val="23"/>
        </w:rPr>
        <w:t xml:space="preserve">Tijekom 2019. </w:t>
      </w:r>
      <w:r w:rsidRPr="002E5315">
        <w:rPr>
          <w:szCs w:val="23"/>
        </w:rPr>
        <w:t xml:space="preserve">zaprimljeno je 57 žalbi u kojima su tijela javne vlasti kao razlog odbijanja zahtjeva navodila zlouporabu od strane korisnika, iz čega proizlazi da je </w:t>
      </w:r>
      <w:r w:rsidRPr="002E5315">
        <w:rPr>
          <w:b/>
          <w:szCs w:val="23"/>
        </w:rPr>
        <w:t>zlouporaba i dalje jedan od najčešće korištenih razlog odbijanja zahtjeva za pristup informacijama</w:t>
      </w:r>
      <w:r w:rsidRPr="002E5315">
        <w:rPr>
          <w:szCs w:val="23"/>
        </w:rPr>
        <w:t>. Broj izjavljenih žalbi zbog zlouporabe predstavlja smanjenje u odnosu na 2018., kad je bila izjavljena 101 žalba zbog ovog razloga.</w:t>
      </w:r>
    </w:p>
    <w:p w14:paraId="1E628796" w14:textId="77777777" w:rsidR="00633D93" w:rsidRDefault="008C26E6" w:rsidP="008C26E6">
      <w:pPr>
        <w:shd w:val="clear" w:color="auto" w:fill="FFFFFF" w:themeFill="background1"/>
        <w:rPr>
          <w:color w:val="000000"/>
          <w:szCs w:val="23"/>
        </w:rPr>
      </w:pPr>
      <w:r w:rsidRPr="002E5315">
        <w:rPr>
          <w:szCs w:val="23"/>
        </w:rPr>
        <w:t xml:space="preserve">Iz dostavljenih izvješća tijela proizlazi da je tijekom </w:t>
      </w:r>
      <w:r w:rsidRPr="002E5315">
        <w:rPr>
          <w:color w:val="000000"/>
          <w:szCs w:val="23"/>
        </w:rPr>
        <w:t xml:space="preserve">2019. </w:t>
      </w:r>
      <w:r w:rsidRPr="002E5315">
        <w:rPr>
          <w:szCs w:val="23"/>
        </w:rPr>
        <w:t>odbijeno 210</w:t>
      </w:r>
      <w:r w:rsidR="00954DB8" w:rsidRPr="002E5315">
        <w:rPr>
          <w:szCs w:val="23"/>
        </w:rPr>
        <w:t xml:space="preserve"> </w:t>
      </w:r>
      <w:r w:rsidRPr="002E5315">
        <w:rPr>
          <w:color w:val="000000"/>
          <w:szCs w:val="23"/>
        </w:rPr>
        <w:t xml:space="preserve">zahtjeva zbog zlouporabe prava. </w:t>
      </w:r>
      <w:r w:rsidRPr="002E5315">
        <w:rPr>
          <w:szCs w:val="23"/>
        </w:rPr>
        <w:t>Prvostupanjska rje</w:t>
      </w:r>
      <w:r w:rsidRPr="002E5315">
        <w:rPr>
          <w:color w:val="000000"/>
          <w:szCs w:val="23"/>
        </w:rPr>
        <w:t>šenja pobijana su u žalbenom postupku u 57 žalbenih predmeta (27,14%)</w:t>
      </w:r>
      <w:r w:rsidR="00633D93">
        <w:rPr>
          <w:color w:val="000000"/>
          <w:szCs w:val="23"/>
        </w:rPr>
        <w:t>.</w:t>
      </w:r>
    </w:p>
    <w:p w14:paraId="092C4FD4" w14:textId="551193DE" w:rsidR="008C26E6" w:rsidRPr="002E5315" w:rsidRDefault="008C26E6" w:rsidP="008C26E6">
      <w:pPr>
        <w:shd w:val="clear" w:color="auto" w:fill="FFFFFF" w:themeFill="background1"/>
        <w:rPr>
          <w:szCs w:val="23"/>
        </w:rPr>
      </w:pPr>
      <w:r w:rsidRPr="002E5315">
        <w:rPr>
          <w:szCs w:val="23"/>
        </w:rPr>
        <w:t xml:space="preserve">Razlog za navedeno </w:t>
      </w:r>
      <w:r w:rsidRPr="002E5315">
        <w:rPr>
          <w:color w:val="000000"/>
          <w:szCs w:val="23"/>
        </w:rPr>
        <w:t>smanjenje se može pronaći u višegodišnjoj praksi odlučivanja u predmetima po žalbama u kojima je Povjerenik u visokom postotku utvrđivao da nije došlo do zlouporabe prava, a također i usmjeravanja tijela javne vlasti da prilikom odlučivanja o zahtjevima koriste Smjernice za primjenu odredbe o zlouporabi prava koje je donio Povjerenik.</w:t>
      </w:r>
    </w:p>
    <w:p w14:paraId="06B339F6" w14:textId="77777777" w:rsidR="00633D93" w:rsidRDefault="008C26E6" w:rsidP="008C26E6">
      <w:pPr>
        <w:shd w:val="clear" w:color="auto" w:fill="FFFFFF" w:themeFill="background1"/>
        <w:rPr>
          <w:rFonts w:cs="Arial"/>
          <w:szCs w:val="23"/>
        </w:rPr>
      </w:pPr>
      <w:r w:rsidRPr="002E5315">
        <w:rPr>
          <w:rFonts w:cs="Arial"/>
          <w:szCs w:val="23"/>
        </w:rPr>
        <w:t xml:space="preserve">Od ukupno 84 predmeta u rješavanju, riješena su 54 (64,29%), i to tako da su u 12 predmeta (22,22%) potvrđena rješenja prvostupanjskog tijela, dok su </w:t>
      </w:r>
      <w:r w:rsidRPr="002E5315">
        <w:rPr>
          <w:rFonts w:cs="Arial"/>
          <w:b/>
          <w:szCs w:val="23"/>
        </w:rPr>
        <w:t xml:space="preserve">u 39 ili 72,22% rješenja poništena </w:t>
      </w:r>
      <w:r w:rsidRPr="002E5315">
        <w:rPr>
          <w:rFonts w:cs="Arial"/>
          <w:bCs/>
          <w:szCs w:val="23"/>
        </w:rPr>
        <w:t>na način da je u</w:t>
      </w:r>
      <w:r w:rsidRPr="002E5315">
        <w:rPr>
          <w:rFonts w:cs="Arial"/>
          <w:szCs w:val="23"/>
        </w:rPr>
        <w:t xml:space="preserve"> 11 ili 20,37% </w:t>
      </w:r>
      <w:r w:rsidRPr="002E5315">
        <w:rPr>
          <w:rFonts w:cs="Arial"/>
          <w:bCs/>
          <w:szCs w:val="23"/>
        </w:rPr>
        <w:t xml:space="preserve">omogućen </w:t>
      </w:r>
      <w:r w:rsidRPr="002E5315">
        <w:rPr>
          <w:rFonts w:cs="Arial"/>
          <w:szCs w:val="23"/>
        </w:rPr>
        <w:t>pristup informacijama</w:t>
      </w:r>
      <w:r w:rsidRPr="002E5315">
        <w:rPr>
          <w:rFonts w:cs="Arial"/>
          <w:b/>
          <w:szCs w:val="23"/>
        </w:rPr>
        <w:t xml:space="preserve"> </w:t>
      </w:r>
      <w:r w:rsidRPr="006F092A">
        <w:rPr>
          <w:rFonts w:cs="Arial"/>
          <w:bCs/>
          <w:szCs w:val="23"/>
        </w:rPr>
        <w:t xml:space="preserve">te u </w:t>
      </w:r>
      <w:r w:rsidRPr="002E5315">
        <w:rPr>
          <w:rFonts w:cs="Arial"/>
          <w:szCs w:val="23"/>
        </w:rPr>
        <w:t>28 ili 51,85% predmet vraćen na ponovni postupak, a u 2 (3,70%) tijelo je samo promijenilo odluku</w:t>
      </w:r>
      <w:r w:rsidR="00633D93">
        <w:rPr>
          <w:rFonts w:cs="Arial"/>
          <w:szCs w:val="23"/>
        </w:rPr>
        <w:t>.</w:t>
      </w:r>
    </w:p>
    <w:p w14:paraId="72302314" w14:textId="77777777" w:rsidR="00633D93" w:rsidRDefault="008C26E6" w:rsidP="008C26E6">
      <w:pPr>
        <w:shd w:val="clear" w:color="auto" w:fill="FFFFFF" w:themeFill="background1"/>
        <w:rPr>
          <w:rFonts w:cs="Arial"/>
          <w:szCs w:val="23"/>
        </w:rPr>
      </w:pPr>
      <w:r w:rsidRPr="002E5315">
        <w:rPr>
          <w:rFonts w:cs="Arial"/>
          <w:szCs w:val="23"/>
        </w:rPr>
        <w:t xml:space="preserve">Potrebno je napomenuti da je u slučaju Hrvatske narodne banke bilo izjavljeno 39 žalbi na rješenja o zlouporabi prava i da je Povjerenik spojio te </w:t>
      </w:r>
      <w:r w:rsidR="006F092A">
        <w:rPr>
          <w:rFonts w:cs="Arial"/>
          <w:szCs w:val="23"/>
        </w:rPr>
        <w:t xml:space="preserve">žalbe u jedan </w:t>
      </w:r>
      <w:r w:rsidRPr="002E5315">
        <w:rPr>
          <w:rFonts w:cs="Arial"/>
          <w:szCs w:val="23"/>
        </w:rPr>
        <w:t>predmet te je potvrdio odluku o zlouporabi</w:t>
      </w:r>
      <w:r w:rsidR="00633D93">
        <w:rPr>
          <w:rFonts w:cs="Arial"/>
          <w:szCs w:val="23"/>
        </w:rPr>
        <w:t>.</w:t>
      </w:r>
    </w:p>
    <w:p w14:paraId="32ED5EB9" w14:textId="24C344B9" w:rsidR="005307B5" w:rsidRPr="002E5315" w:rsidRDefault="008C26E6" w:rsidP="008C26E6">
      <w:pPr>
        <w:rPr>
          <w:rFonts w:cs="Arial"/>
          <w:szCs w:val="23"/>
        </w:rPr>
      </w:pPr>
      <w:r w:rsidRPr="002E5315">
        <w:rPr>
          <w:color w:val="000000"/>
          <w:szCs w:val="23"/>
        </w:rPr>
        <w:t xml:space="preserve">U najvećem su broju zlouporabu kao razlog za odbijanje </w:t>
      </w:r>
      <w:r w:rsidRPr="002E5315">
        <w:rPr>
          <w:szCs w:val="23"/>
        </w:rPr>
        <w:t>zahtjeva za pristup informacijama, koji su</w:t>
      </w:r>
      <w:r w:rsidR="00954DB8" w:rsidRPr="002E5315">
        <w:rPr>
          <w:szCs w:val="23"/>
        </w:rPr>
        <w:t xml:space="preserve"> </w:t>
      </w:r>
      <w:r w:rsidRPr="002E5315">
        <w:rPr>
          <w:szCs w:val="23"/>
        </w:rPr>
        <w:t>podnijeli isti ili više povezanih korisnika, koristila sljedeća tijela: HBOR</w:t>
      </w:r>
      <w:r w:rsidRPr="002E5315">
        <w:rPr>
          <w:color w:val="000000"/>
          <w:szCs w:val="23"/>
        </w:rPr>
        <w:t xml:space="preserve">, Specijalna bolnica za </w:t>
      </w:r>
      <w:r w:rsidRPr="002E5315">
        <w:rPr>
          <w:rFonts w:cs="Arial"/>
          <w:szCs w:val="23"/>
        </w:rPr>
        <w:t>medicinsku rehabilitaciju Krapinske toplice, Fakultet strojarstva i brodogradnje, Sveučilište u Zagrebu, Grad Glina, Nacionalni park Krka i Hrvatska narodna banka</w:t>
      </w:r>
      <w:r w:rsidR="005307B5" w:rsidRPr="002E5315">
        <w:rPr>
          <w:rFonts w:cs="Arial"/>
          <w:szCs w:val="23"/>
        </w:rPr>
        <w:t>.</w:t>
      </w:r>
    </w:p>
    <w:p w14:paraId="5757BBD1" w14:textId="77777777" w:rsidR="005307B5" w:rsidRPr="002E5315" w:rsidRDefault="005307B5" w:rsidP="003A188D">
      <w:pPr>
        <w:pStyle w:val="Naslov3"/>
      </w:pPr>
      <w:bookmarkStart w:id="32" w:name="_Toc36308937"/>
      <w:r w:rsidRPr="002E5315">
        <w:t>Tijelo javne vlasti ne posjeduje informaciju</w:t>
      </w:r>
      <w:bookmarkEnd w:id="32"/>
    </w:p>
    <w:p w14:paraId="1C1DA5EE" w14:textId="77777777" w:rsidR="00633D93" w:rsidRDefault="008C26E6" w:rsidP="008C26E6">
      <w:pPr>
        <w:shd w:val="clear" w:color="auto" w:fill="FFFFFF" w:themeFill="background1"/>
        <w:rPr>
          <w:rFonts w:cstheme="minorHAnsi"/>
          <w:szCs w:val="23"/>
        </w:rPr>
      </w:pPr>
      <w:r w:rsidRPr="002E5315">
        <w:rPr>
          <w:rFonts w:cstheme="minorHAnsi"/>
          <w:szCs w:val="23"/>
        </w:rPr>
        <w:t>Povjerenik je zaprimio u 2019. 54 žalbe na rješenje o odbacivanju zahtjeva iz razloga što tijela javne vlasti ne raspolažu informacijom ili ne znaju gdje se informacija nalazi. Računajući žalbe koje su prenijete iz prethodnog perioda, Povjerenik je imao u radu ukupno 87 žalbi</w:t>
      </w:r>
      <w:r w:rsidR="00633D93">
        <w:rPr>
          <w:rFonts w:cstheme="minorHAnsi"/>
          <w:szCs w:val="23"/>
        </w:rPr>
        <w:t>.</w:t>
      </w:r>
    </w:p>
    <w:p w14:paraId="6974013F" w14:textId="3BBEA71C" w:rsidR="005307B5" w:rsidRPr="002E5315" w:rsidRDefault="008C26E6" w:rsidP="008C26E6">
      <w:pPr>
        <w:shd w:val="clear" w:color="auto" w:fill="FFFFFF" w:themeFill="background1"/>
        <w:rPr>
          <w:rFonts w:cstheme="minorHAnsi"/>
          <w:szCs w:val="23"/>
        </w:rPr>
      </w:pPr>
      <w:r w:rsidRPr="002E5315">
        <w:rPr>
          <w:rFonts w:cstheme="minorHAnsi"/>
          <w:szCs w:val="23"/>
        </w:rPr>
        <w:t>Od ukupno riješenih 59 žalbi, Povjerenik je u 36 slučajeva (61,02%) potvrdio rješenje tijela javne vlasti da ne posjeduje zatraženu informaciju, dok je u 1 (1,69%) slučaju utvrdio da tijelo raspolaže informacijom te je poništio rješenje i omogućio pravo na pristup zatraženoj informaciji, a u 14 slučaja (23,73%)</w:t>
      </w:r>
      <w:r w:rsidR="00954DB8" w:rsidRPr="002E5315">
        <w:rPr>
          <w:rFonts w:cstheme="minorHAnsi"/>
          <w:szCs w:val="23"/>
        </w:rPr>
        <w:t xml:space="preserve"> </w:t>
      </w:r>
      <w:r w:rsidRPr="002E5315">
        <w:rPr>
          <w:rFonts w:cstheme="minorHAnsi"/>
          <w:szCs w:val="23"/>
        </w:rPr>
        <w:t>poništio rješenje tijela javne vlasti i predmet vratio na ponovni postupak</w:t>
      </w:r>
      <w:r w:rsidR="005307B5" w:rsidRPr="002E5315">
        <w:rPr>
          <w:rFonts w:cstheme="minorHAnsi"/>
          <w:szCs w:val="23"/>
        </w:rPr>
        <w:t>.</w:t>
      </w:r>
    </w:p>
    <w:p w14:paraId="77255625" w14:textId="5FA8A4AA" w:rsidR="005307B5" w:rsidRPr="002E5315" w:rsidRDefault="005307B5" w:rsidP="003A188D">
      <w:pPr>
        <w:pStyle w:val="Naslov3"/>
      </w:pPr>
      <w:bookmarkStart w:id="33" w:name="_Toc36308938"/>
      <w:r w:rsidRPr="002E5315">
        <w:t>Informacija se ne smatra informacijom u smislu Zakona</w:t>
      </w:r>
      <w:bookmarkEnd w:id="33"/>
    </w:p>
    <w:p w14:paraId="4CD5EAB7" w14:textId="77777777" w:rsidR="008C26E6" w:rsidRPr="002E5315" w:rsidRDefault="008C26E6" w:rsidP="008C26E6">
      <w:pPr>
        <w:shd w:val="clear" w:color="auto" w:fill="FFFFFF" w:themeFill="background1"/>
        <w:rPr>
          <w:rFonts w:cs="Arial"/>
          <w:szCs w:val="23"/>
        </w:rPr>
      </w:pPr>
      <w:r w:rsidRPr="002E5315">
        <w:rPr>
          <w:rFonts w:cs="Arial"/>
          <w:szCs w:val="23"/>
        </w:rPr>
        <w:t>Tijekom 2019. je dosta korišten razlog izjavljivanja žalbi na rješenje (30 ili 8,60%) kojim se odbija zahtjev bio taj da se traženo ne smatra informacijom u smislu članka 5. ZPPI-ja, što je ipak smanjenje u odnosu na 2018., kad je bilo izjavljeno 51 (10,54%) žalbi zbog toga razloga.</w:t>
      </w:r>
    </w:p>
    <w:p w14:paraId="459A410D" w14:textId="77777777" w:rsidR="008C26E6" w:rsidRPr="002E5315" w:rsidRDefault="008C26E6" w:rsidP="008C26E6">
      <w:pPr>
        <w:shd w:val="clear" w:color="auto" w:fill="FFFFFF" w:themeFill="background1"/>
        <w:rPr>
          <w:rFonts w:cs="Arial"/>
          <w:szCs w:val="23"/>
        </w:rPr>
      </w:pPr>
      <w:r w:rsidRPr="002E5315">
        <w:rPr>
          <w:rFonts w:cs="Arial"/>
          <w:szCs w:val="23"/>
        </w:rPr>
        <w:lastRenderedPageBreak/>
        <w:t>Iz dostavljenih izvješća tijela proizlazi da su tijekom 2019. odbila 180 zahtjeva jer su ocijenila da zatražena informacija ne ispunjava uvjete iz zakonske definicije. Njihova rješenja pobijana su u žalbenom postupku u 51 slučaju.</w:t>
      </w:r>
    </w:p>
    <w:p w14:paraId="3CCD2629" w14:textId="77777777" w:rsidR="00633D93" w:rsidRDefault="008C26E6" w:rsidP="008C26E6">
      <w:pPr>
        <w:shd w:val="clear" w:color="auto" w:fill="FFFFFF" w:themeFill="background1"/>
        <w:rPr>
          <w:rFonts w:cs="Arial"/>
          <w:szCs w:val="23"/>
        </w:rPr>
      </w:pPr>
      <w:r w:rsidRPr="002E5315">
        <w:rPr>
          <w:rFonts w:cs="Arial"/>
          <w:szCs w:val="23"/>
        </w:rPr>
        <w:t>Od ukupno 40 predmeta u rješavanju, tijekom 2019. riješeno je 28 predmeta (70%) te je u 12 (42,86%), Povjerenik donio odluku kojom je potvrdio odluku tijela javne vlasti o tome da su ispravno procijenila da se ne radi o informaciji kako je definira ZPPI, što predstavlja poboljšanje u odnosu na 2018. kada su samo u 26,79 % slučajeva tijela javne vlasti ispravno odlučila</w:t>
      </w:r>
      <w:r w:rsidR="00633D93">
        <w:rPr>
          <w:rFonts w:cs="Arial"/>
          <w:szCs w:val="23"/>
        </w:rPr>
        <w:t>.</w:t>
      </w:r>
    </w:p>
    <w:p w14:paraId="29DBBFDD" w14:textId="38735D40" w:rsidR="008C26E6" w:rsidRPr="002E5315" w:rsidRDefault="008C26E6" w:rsidP="008C26E6">
      <w:pPr>
        <w:shd w:val="clear" w:color="auto" w:fill="FFFFFF" w:themeFill="background1"/>
        <w:rPr>
          <w:rFonts w:cs="Arial"/>
          <w:szCs w:val="23"/>
        </w:rPr>
      </w:pPr>
      <w:r w:rsidRPr="002E5315">
        <w:rPr>
          <w:rFonts w:cs="Arial"/>
          <w:b/>
          <w:szCs w:val="23"/>
        </w:rPr>
        <w:t xml:space="preserve">U 14 slučajeva (50%) tijelo je pogrešno utvrdilo da se ne radi o informaciji u zakonskom smislu, </w:t>
      </w:r>
      <w:r w:rsidRPr="002E5315">
        <w:rPr>
          <w:rFonts w:cs="Arial"/>
          <w:szCs w:val="23"/>
        </w:rPr>
        <w:t>pa je u 4 slučaja rješenje poništeno i naloženo da se omogući pristup, u 9 slučaja predmet vraćen na ponovni postupak, a u jednom slučaju je rješenje proglašeno ništavim.</w:t>
      </w:r>
    </w:p>
    <w:p w14:paraId="0A040374" w14:textId="6E5C5188" w:rsidR="005307B5" w:rsidRPr="002E5315" w:rsidRDefault="008C26E6" w:rsidP="008C26E6">
      <w:pPr>
        <w:shd w:val="clear" w:color="auto" w:fill="FFFFFF" w:themeFill="background1"/>
        <w:rPr>
          <w:color w:val="000000"/>
          <w:szCs w:val="23"/>
        </w:rPr>
      </w:pPr>
      <w:r w:rsidRPr="002E5315">
        <w:rPr>
          <w:szCs w:val="23"/>
        </w:rPr>
        <w:t>Iako iz podataka proizlazi poboljšanje u odlučivanju u slučajevima razmatranja radi li se o informaciji u smislu ZPPI-ja, ipak ostaje činjenica da su tijela javne vlasti u 50% slučajeva pogrešno odlučila te su zahtjeve za pristup informacijama postavljene u obliku upita ocijenili kao podneske kojima se ne traži informacija u smislu ZPPI-ja te nisu razmatrala nalaze li se informacije u njihovom posjedu unutar različitih dokumenata ili zapisa podatka, koji se mogu dostaviti korisniku</w:t>
      </w:r>
      <w:r w:rsidR="005307B5" w:rsidRPr="002E5315">
        <w:rPr>
          <w:color w:val="000000"/>
          <w:szCs w:val="23"/>
        </w:rPr>
        <w:t>.</w:t>
      </w:r>
    </w:p>
    <w:p w14:paraId="57052160" w14:textId="77777777" w:rsidR="005307B5" w:rsidRPr="002E5315" w:rsidRDefault="005307B5" w:rsidP="003A188D">
      <w:pPr>
        <w:pStyle w:val="Naslov3"/>
      </w:pPr>
      <w:bookmarkStart w:id="34" w:name="_Toc36308939"/>
      <w:r w:rsidRPr="002E5315">
        <w:t>Klasificirana informacija</w:t>
      </w:r>
      <w:bookmarkEnd w:id="34"/>
    </w:p>
    <w:p w14:paraId="4D94DAFB" w14:textId="77777777" w:rsidR="008C26E6" w:rsidRPr="002E5315" w:rsidRDefault="008C26E6" w:rsidP="008C26E6">
      <w:pPr>
        <w:shd w:val="clear" w:color="auto" w:fill="FFFFFF" w:themeFill="background1"/>
        <w:rPr>
          <w:rFonts w:cs="Arial"/>
          <w:szCs w:val="23"/>
        </w:rPr>
      </w:pPr>
      <w:r w:rsidRPr="002E5315">
        <w:rPr>
          <w:rFonts w:cs="Arial"/>
          <w:szCs w:val="23"/>
        </w:rPr>
        <w:t>Klasificirane informacije tijekom 2019. nisu bili često korišteno zakonsko ograničenje te podaci pokazuju da su tijekom 2017. i 2018. zbog interesa jednog korisnika bili češće korišteno zakonsko ograničenje te je zbog toga u tim periodima naglašeno da podatke treba uzeti s rezervom, jer su zahtjevi bili upućeni od jednog korisnika na točno određena tijela javne vlasti.</w:t>
      </w:r>
    </w:p>
    <w:p w14:paraId="62A1A008" w14:textId="001AA965" w:rsidR="008C26E6" w:rsidRPr="002E5315" w:rsidRDefault="008C26E6" w:rsidP="008C26E6">
      <w:pPr>
        <w:shd w:val="clear" w:color="auto" w:fill="FFFFFF" w:themeFill="background1"/>
        <w:rPr>
          <w:rFonts w:cs="Arial"/>
          <w:szCs w:val="23"/>
        </w:rPr>
      </w:pPr>
      <w:r w:rsidRPr="002E5315">
        <w:rPr>
          <w:rFonts w:cs="Arial"/>
          <w:szCs w:val="23"/>
        </w:rPr>
        <w:t>Prema podacima iz dostavljenih izvješća tijela javne vlasti, vidljivo je da su tijekom 2019. u 21 slučaju koristila ovo zakonsko ograničenje, u odnosu na koje su</w:t>
      </w:r>
      <w:r w:rsidR="00954DB8" w:rsidRPr="002E5315">
        <w:rPr>
          <w:rFonts w:cs="Arial"/>
          <w:szCs w:val="23"/>
        </w:rPr>
        <w:t xml:space="preserve"> </w:t>
      </w:r>
      <w:r w:rsidRPr="002E5315">
        <w:rPr>
          <w:rFonts w:cs="Arial"/>
          <w:szCs w:val="23"/>
        </w:rPr>
        <w:t>izjavljene 3 žalbe.</w:t>
      </w:r>
    </w:p>
    <w:p w14:paraId="6D852C5E" w14:textId="59C453FA" w:rsidR="008C26E6" w:rsidRPr="002E5315" w:rsidRDefault="008C26E6" w:rsidP="008C26E6">
      <w:pPr>
        <w:shd w:val="clear" w:color="auto" w:fill="FFFFFF" w:themeFill="background1"/>
        <w:rPr>
          <w:rFonts w:cs="Arial"/>
          <w:szCs w:val="23"/>
        </w:rPr>
      </w:pPr>
      <w:r w:rsidRPr="002E5315">
        <w:rPr>
          <w:rFonts w:cs="Arial"/>
          <w:szCs w:val="23"/>
        </w:rPr>
        <w:t>Od ukupno 10 predmeta u radu, riješeno je 8 (80%), na način da je u 5 slučajeva žalba odbijena kao neosnovana te je u 3 predmeta rješenje poništeno i predmet vraćen na ponovni postupak, i to u slučaju Vlade RH, Ministarstva unutarnjih poslova i Općinskog državnog odvjetništv</w:t>
      </w:r>
      <w:r w:rsidR="004D3A7E">
        <w:rPr>
          <w:rFonts w:cs="Arial"/>
          <w:szCs w:val="23"/>
        </w:rPr>
        <w:t>a</w:t>
      </w:r>
      <w:r w:rsidRPr="002E5315">
        <w:rPr>
          <w:rFonts w:cs="Arial"/>
          <w:szCs w:val="23"/>
        </w:rPr>
        <w:t xml:space="preserve"> u Šibeniku.</w:t>
      </w:r>
    </w:p>
    <w:p w14:paraId="1105FC37" w14:textId="29040DB5" w:rsidR="005307B5" w:rsidRPr="002E5315" w:rsidRDefault="008C26E6" w:rsidP="008C26E6">
      <w:pPr>
        <w:shd w:val="clear" w:color="auto" w:fill="FFFFFF" w:themeFill="background1"/>
        <w:rPr>
          <w:rFonts w:cs="Arial"/>
          <w:szCs w:val="23"/>
        </w:rPr>
      </w:pPr>
      <w:r w:rsidRPr="002E5315">
        <w:rPr>
          <w:rFonts w:cs="Arial"/>
          <w:szCs w:val="23"/>
        </w:rPr>
        <w:t>U odnosu na 2017., kad je velik broj rješenja poništavan i predmeti vraćani na ponovni postupak zbog nepostupanja sukladno odredbi članka 16. ZPPI-ja (mišljenja UVNS-a i provedba testa razmjernosti i javnog interesa), tijekom 2019. je vidljiv napredak kod tijela javne vlasti koja su vlasnici klasificirane informacije u provođenju propisanog postupka prema ZPPI-ju</w:t>
      </w:r>
      <w:r w:rsidR="005307B5" w:rsidRPr="002E5315">
        <w:rPr>
          <w:rFonts w:cs="Arial"/>
          <w:szCs w:val="23"/>
        </w:rPr>
        <w:t>.</w:t>
      </w:r>
    </w:p>
    <w:p w14:paraId="5ACE7CB5" w14:textId="46AEA805" w:rsidR="005307B5" w:rsidRPr="002E5315" w:rsidRDefault="005307B5" w:rsidP="003A188D">
      <w:pPr>
        <w:pStyle w:val="Naslov2"/>
      </w:pPr>
      <w:bookmarkStart w:id="35" w:name="_Toc36308940"/>
      <w:r w:rsidRPr="002E5315">
        <w:t>Žalbe na postupanje sa zahtjevima za ponovnu uporabu informacija</w:t>
      </w:r>
      <w:bookmarkEnd w:id="35"/>
    </w:p>
    <w:p w14:paraId="6D967DD8" w14:textId="6E93EA38" w:rsidR="008C26E6" w:rsidRPr="002E5315" w:rsidRDefault="008C26E6" w:rsidP="008C26E6">
      <w:pPr>
        <w:shd w:val="clear" w:color="auto" w:fill="FFFFFF" w:themeFill="background1"/>
        <w:tabs>
          <w:tab w:val="left" w:pos="-1843"/>
        </w:tabs>
        <w:rPr>
          <w:rFonts w:cs="Arial"/>
          <w:szCs w:val="23"/>
        </w:rPr>
      </w:pPr>
      <w:r w:rsidRPr="002E5315">
        <w:rPr>
          <w:rFonts w:cs="Arial"/>
          <w:szCs w:val="23"/>
        </w:rPr>
        <w:t>Tijekom 2019. Povjerenik je imao u radu</w:t>
      </w:r>
      <w:r w:rsidR="00954DB8" w:rsidRPr="002E5315">
        <w:rPr>
          <w:rFonts w:cs="Arial"/>
          <w:szCs w:val="23"/>
        </w:rPr>
        <w:t xml:space="preserve"> </w:t>
      </w:r>
      <w:r w:rsidRPr="002E5315">
        <w:rPr>
          <w:rFonts w:cs="Arial"/>
          <w:szCs w:val="23"/>
        </w:rPr>
        <w:t>ukupno 8 žalbi koje se odnose na postupanje sa zahtjevima za ponovnu uporabu, od čega 4 zaprimljene u 2019. i 4 prenesene iz prethodnog razdoblja, a riješene su 4 žalbe.</w:t>
      </w:r>
    </w:p>
    <w:p w14:paraId="4166AFB2" w14:textId="363F3539" w:rsidR="008C26E6" w:rsidRPr="002E5315" w:rsidRDefault="008C26E6" w:rsidP="008C26E6">
      <w:pPr>
        <w:shd w:val="clear" w:color="auto" w:fill="FFFFFF" w:themeFill="background1"/>
        <w:tabs>
          <w:tab w:val="left" w:pos="-1843"/>
        </w:tabs>
        <w:rPr>
          <w:rFonts w:cs="Arial"/>
          <w:szCs w:val="23"/>
        </w:rPr>
      </w:pPr>
      <w:r w:rsidRPr="002E5315">
        <w:rPr>
          <w:rFonts w:cs="Arial"/>
          <w:szCs w:val="23"/>
        </w:rPr>
        <w:lastRenderedPageBreak/>
        <w:t>Izjavljene žalbe iz 2019. su podnesene u odnosu na postupanja</w:t>
      </w:r>
      <w:r w:rsidR="00954DB8" w:rsidRPr="002E5315">
        <w:rPr>
          <w:rFonts w:cs="Arial"/>
          <w:szCs w:val="23"/>
        </w:rPr>
        <w:t xml:space="preserve"> </w:t>
      </w:r>
      <w:r w:rsidRPr="002E5315">
        <w:rPr>
          <w:rFonts w:cs="Arial"/>
          <w:szCs w:val="23"/>
        </w:rPr>
        <w:t>Hrvatskog zavoda za zdravstveno osiguranje, Ministarstva državne imovine, Općine Strahoninec i Ministarstva uprave.</w:t>
      </w:r>
    </w:p>
    <w:p w14:paraId="1B6F0C9E" w14:textId="6CE80D5D" w:rsidR="008C26E6" w:rsidRPr="002E5315" w:rsidRDefault="008C26E6" w:rsidP="008C26E6">
      <w:pPr>
        <w:shd w:val="clear" w:color="auto" w:fill="FFFFFF" w:themeFill="background1"/>
        <w:tabs>
          <w:tab w:val="left" w:pos="-1843"/>
        </w:tabs>
        <w:rPr>
          <w:rFonts w:cs="Arial"/>
          <w:szCs w:val="23"/>
        </w:rPr>
      </w:pPr>
      <w:r w:rsidRPr="002E5315">
        <w:rPr>
          <w:rFonts w:cs="Arial"/>
          <w:szCs w:val="23"/>
        </w:rPr>
        <w:t>Kad se razmatraju razlozi uskrate ponovne uporabe u postupcima po žalbama, utvrđeno je da su tijela javne vlasti navela da se radi o uskrati ponovne uporabe zbog zaštite osobnih podataka, iz razloga što tijelo javne vlasati ne posjeduje zatraženu informaciju ili jer se ne radi o zahtjevu za ponovnu uporabu jer informacija ne postoji (informaciju bi trebalo izrađivati) te jer nema osnove za osnove za dopunu ili ispravak</w:t>
      </w:r>
      <w:r w:rsidR="00954DB8" w:rsidRPr="002E5315">
        <w:rPr>
          <w:rFonts w:cs="Arial"/>
          <w:szCs w:val="23"/>
        </w:rPr>
        <w:t xml:space="preserve"> </w:t>
      </w:r>
      <w:r w:rsidRPr="002E5315">
        <w:rPr>
          <w:rFonts w:cs="Arial"/>
          <w:szCs w:val="23"/>
        </w:rPr>
        <w:t>informacije.</w:t>
      </w:r>
    </w:p>
    <w:p w14:paraId="4BD91D04" w14:textId="77777777" w:rsidR="00633D93" w:rsidRDefault="008C26E6" w:rsidP="008C26E6">
      <w:pPr>
        <w:shd w:val="clear" w:color="auto" w:fill="FFFFFF" w:themeFill="background1"/>
        <w:tabs>
          <w:tab w:val="left" w:pos="-1843"/>
        </w:tabs>
        <w:rPr>
          <w:rFonts w:cs="Arial"/>
          <w:szCs w:val="23"/>
        </w:rPr>
      </w:pPr>
      <w:r w:rsidRPr="002E5315">
        <w:rPr>
          <w:rFonts w:cs="Arial"/>
          <w:szCs w:val="23"/>
        </w:rPr>
        <w:t>Od riješenih žalbi, jedna se odnosila na tzv. šutnju uprave, a riješena je odbijanjem žalbe kao neosnovane i to u slučaju Općine Strahoninec</w:t>
      </w:r>
      <w:r w:rsidR="00633D93">
        <w:rPr>
          <w:rFonts w:cs="Arial"/>
          <w:szCs w:val="23"/>
        </w:rPr>
        <w:t>.</w:t>
      </w:r>
    </w:p>
    <w:p w14:paraId="69803452" w14:textId="77777777" w:rsidR="00633D93" w:rsidRDefault="008C26E6" w:rsidP="008C26E6">
      <w:pPr>
        <w:shd w:val="clear" w:color="auto" w:fill="FFFFFF" w:themeFill="background1"/>
        <w:rPr>
          <w:rFonts w:cstheme="minorHAnsi"/>
          <w:color w:val="000000" w:themeColor="text1"/>
          <w:szCs w:val="23"/>
        </w:rPr>
      </w:pPr>
      <w:r w:rsidRPr="002E5315">
        <w:rPr>
          <w:rFonts w:cstheme="minorHAnsi"/>
          <w:color w:val="000000" w:themeColor="text1"/>
          <w:szCs w:val="23"/>
        </w:rPr>
        <w:t>U odnosu na odbijajuća rješenja ili rješenja o odbacivanju zahtjeva za ponovnu uporabu informacijama, riješene su 3 žalbe. Od</w:t>
      </w:r>
      <w:r w:rsidR="00954DB8" w:rsidRPr="002E5315">
        <w:rPr>
          <w:rFonts w:cstheme="minorHAnsi"/>
          <w:color w:val="000000" w:themeColor="text1"/>
          <w:szCs w:val="23"/>
        </w:rPr>
        <w:t xml:space="preserve"> </w:t>
      </w:r>
      <w:r w:rsidRPr="002E5315">
        <w:rPr>
          <w:rFonts w:cstheme="minorHAnsi"/>
          <w:color w:val="000000" w:themeColor="text1"/>
          <w:szCs w:val="23"/>
        </w:rPr>
        <w:t>3 riješene žalbe, 2 (66,67%) žalbe su odbijene kao neosnovane i to u slučaju u kojem je Hrvatski zavod za zdravstveno osiguranje odbio zahtjev za dopunu ili ispravak dane informacije u kojem su tražene informacije o mjesečnoj vrijednosti vezane uz potrošnju lijekova na recept te u slučaju u kojem je Ministarstvo uprave odbilo zahtjev za ponovnu uporabu podataka iz Registra zaposlenih u javnom sektoru. Povjerenik je donio 1 (0,33%) rješenje je kojim je poništeno rješenje i predmet je vraćen na ponovno odlučivanje u slučaju Ministarstva državne imovine od kojeg se tražio Registar državne imovine u strojno čitljivom obliku</w:t>
      </w:r>
      <w:r w:rsidR="00633D93">
        <w:rPr>
          <w:rFonts w:cstheme="minorHAnsi"/>
          <w:color w:val="000000" w:themeColor="text1"/>
          <w:szCs w:val="23"/>
        </w:rPr>
        <w:t>.</w:t>
      </w:r>
    </w:p>
    <w:p w14:paraId="071E592A" w14:textId="633B001D" w:rsidR="005307B5" w:rsidRPr="002E5315" w:rsidRDefault="005307B5" w:rsidP="003A188D">
      <w:pPr>
        <w:pStyle w:val="Naslov2"/>
        <w:rPr>
          <w:rFonts w:cs="Arial"/>
        </w:rPr>
      </w:pPr>
      <w:bookmarkStart w:id="36" w:name="_Toc36308941"/>
      <w:r w:rsidRPr="002E5315">
        <w:t>Značajnije odluke Povjerenika za informiranje</w:t>
      </w:r>
      <w:bookmarkEnd w:id="36"/>
      <w:r w:rsidRPr="002E5315">
        <w:t xml:space="preserve"> </w:t>
      </w:r>
    </w:p>
    <w:p w14:paraId="3FD431E1" w14:textId="77777777" w:rsidR="00633D93" w:rsidRDefault="008C26E6" w:rsidP="008C26E6">
      <w:pPr>
        <w:shd w:val="clear" w:color="auto" w:fill="FFFFFF" w:themeFill="background1"/>
        <w:rPr>
          <w:rFonts w:cs="Arial"/>
          <w:szCs w:val="23"/>
        </w:rPr>
      </w:pPr>
      <w:r w:rsidRPr="002E5315">
        <w:rPr>
          <w:rFonts w:cs="Arial"/>
          <w:szCs w:val="23"/>
        </w:rPr>
        <w:t xml:space="preserve">Rješenja Povjerenika u žalbenim postupcima za pristup ili ponovnu uporabu informacija su javno objavljena u </w:t>
      </w:r>
      <w:hyperlink r:id="rId15" w:history="1">
        <w:r w:rsidRPr="002E5315">
          <w:rPr>
            <w:rFonts w:cs="Arial"/>
            <w:szCs w:val="23"/>
          </w:rPr>
          <w:t>Tražilici odluka i mišljenja</w:t>
        </w:r>
      </w:hyperlink>
      <w:r w:rsidRPr="002E5315">
        <w:rPr>
          <w:rFonts w:cs="Arial"/>
          <w:szCs w:val="23"/>
        </w:rPr>
        <w:t xml:space="preserve">, koja je dostupna na internetskoj stranici Povjerenika na poveznici </w:t>
      </w:r>
      <w:hyperlink r:id="rId16" w:history="1">
        <w:r w:rsidRPr="002E5315">
          <w:rPr>
            <w:rFonts w:cs="Arial"/>
            <w:szCs w:val="23"/>
          </w:rPr>
          <w:t>https://tom.pristupinfo.hr</w:t>
        </w:r>
      </w:hyperlink>
      <w:r w:rsidR="00633D93">
        <w:rPr>
          <w:rFonts w:cs="Arial"/>
          <w:szCs w:val="23"/>
        </w:rPr>
        <w:t>.</w:t>
      </w:r>
    </w:p>
    <w:p w14:paraId="2309CE52" w14:textId="13F52D36" w:rsidR="008C26E6" w:rsidRPr="002E5315" w:rsidRDefault="008C26E6" w:rsidP="008C26E6">
      <w:pPr>
        <w:rPr>
          <w:rFonts w:cs="Arial"/>
          <w:szCs w:val="23"/>
        </w:rPr>
      </w:pPr>
      <w:r w:rsidRPr="002E5315">
        <w:rPr>
          <w:rFonts w:cs="Arial"/>
          <w:szCs w:val="23"/>
        </w:rPr>
        <w:t xml:space="preserve">Prema najznačajnijim rješenjima Povjerenika iz 2019. </w:t>
      </w:r>
      <w:r w:rsidRPr="002E5315">
        <w:rPr>
          <w:rFonts w:cs="Arial"/>
          <w:b/>
          <w:szCs w:val="23"/>
        </w:rPr>
        <w:t>sljedeće informacije trebaju biti javno dostupne</w:t>
      </w:r>
      <w:r w:rsidRPr="002E5315">
        <w:rPr>
          <w:rFonts w:cs="Arial"/>
          <w:szCs w:val="23"/>
        </w:rPr>
        <w:t xml:space="preserve">, uz eventualnu zaštitu određenih podataka: </w:t>
      </w:r>
    </w:p>
    <w:p w14:paraId="4A3CEC37"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 xml:space="preserve">Popis svih korisnika kredita koje je HBOR kreditirao u određenom vremenskom razdoblju (tijelo javne vlasti: HBOR), rješenja KLASA: UP/II-008-07/19-01/696, UP/II-008-07/19-01/698, UP/II-008-07/19-01/700; </w:t>
      </w:r>
    </w:p>
    <w:p w14:paraId="1E3EDE50"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Popis svih krajnjih korisnika kredita koje je HBOR kreditirao u određenom vremenskom razdoblju (tijelo javne vlasti: HBOR), rješenja: KLASA: UP/II-008-07/19-01/546, UP/II-008-07/19-01/688, UP/II-008-07/19-01/694, UP/II-008-07/19-01/697 UP/II-008-07/19-01/699;</w:t>
      </w:r>
    </w:p>
    <w:p w14:paraId="6CE35EDA"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Izvješće o imovinskom stanju bivše dužnosnice (tijelo javne vlasti: Povjerenstvo za odlučivanje o sukobu interesa); rješenje: KLASA: UP/II-008-07/19-01/734;</w:t>
      </w:r>
    </w:p>
    <w:p w14:paraId="69BACF73"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Popis donatora koji su tijekom 2018. g dostavili popunjena izvješća o donacijama hrane (tijelo javne vlasti: Ministarstvo financija, Porezna uprava), rješenje KLASA: UP/II-008-07/19-01/162;</w:t>
      </w:r>
    </w:p>
    <w:p w14:paraId="3EB54B2A"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Zapisnik sa sjednice Savjeta HNB-a (tijelo javne vlasti: Hrvatska narodna banka), rješenja: KLASA: UP/II-008-07/19-01/204, UP/II-008-07/19-01/191, UP/II-008-07/19-01/215;</w:t>
      </w:r>
    </w:p>
    <w:p w14:paraId="4C1162AC"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lastRenderedPageBreak/>
        <w:t>Zapisnici sa sjednica Nadzornog odbora HBOR-a (tijelo javne vlasti: HBOR), rješenja: KLASA: UP/II-008-07/18-01/533, UP/II-008-07/19-01/153, UP/II-008-07/19-01/732;</w:t>
      </w:r>
    </w:p>
    <w:p w14:paraId="52034736" w14:textId="4EA6E7F2"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Identitet suca izvjestitelja iz</w:t>
      </w:r>
      <w:r w:rsidR="00954DB8" w:rsidRPr="002E5315">
        <w:rPr>
          <w:rFonts w:ascii="Gill Sans MT" w:hAnsi="Gill Sans MT" w:cs="Arial"/>
          <w:sz w:val="23"/>
          <w:szCs w:val="23"/>
        </w:rPr>
        <w:t xml:space="preserve"> </w:t>
      </w:r>
      <w:r w:rsidRPr="002E5315">
        <w:rPr>
          <w:rFonts w:ascii="Gill Sans MT" w:hAnsi="Gill Sans MT" w:cs="Arial"/>
          <w:sz w:val="23"/>
          <w:szCs w:val="23"/>
        </w:rPr>
        <w:t>završenog predmeta (tijelo javne vlasti: Ustavni sud RH) rješenja KLASA: UP/II-008-07/18-01/243, UP/II-008-07/19-01/626;</w:t>
      </w:r>
    </w:p>
    <w:p w14:paraId="62CFBD94" w14:textId="1BCE244B"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Nazivi projekata, izvoznici i zemlje i u kojem ih je iznosu HBOR financirao u određenom razdoblju</w:t>
      </w:r>
      <w:r w:rsidR="00954DB8" w:rsidRPr="002E5315">
        <w:rPr>
          <w:rFonts w:ascii="Gill Sans MT" w:hAnsi="Gill Sans MT" w:cs="Arial"/>
          <w:sz w:val="23"/>
          <w:szCs w:val="23"/>
        </w:rPr>
        <w:t xml:space="preserve"> </w:t>
      </w:r>
      <w:r w:rsidRPr="002E5315">
        <w:rPr>
          <w:rFonts w:ascii="Gill Sans MT" w:hAnsi="Gill Sans MT" w:cs="Arial"/>
          <w:sz w:val="23"/>
          <w:szCs w:val="23"/>
        </w:rPr>
        <w:t>(tijelo javne vlasti: HBOR), rješenje: KLASA: UP/II-008-07/19-01/436:</w:t>
      </w:r>
    </w:p>
    <w:p w14:paraId="56A8C43C" w14:textId="62E033C1"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Ugovori o kreditu za pojedina trgovačka društva</w:t>
      </w:r>
      <w:r w:rsidR="00954DB8" w:rsidRPr="002E5315">
        <w:rPr>
          <w:rFonts w:ascii="Gill Sans MT" w:hAnsi="Gill Sans MT" w:cs="Arial"/>
          <w:sz w:val="23"/>
          <w:szCs w:val="23"/>
        </w:rPr>
        <w:t xml:space="preserve"> </w:t>
      </w:r>
      <w:r w:rsidRPr="002E5315">
        <w:rPr>
          <w:rFonts w:ascii="Gill Sans MT" w:hAnsi="Gill Sans MT" w:cs="Arial"/>
          <w:sz w:val="23"/>
          <w:szCs w:val="23"/>
        </w:rPr>
        <w:t>(tijelo javne vlasti: HBOR), rješenja: KLASA: UP/II-008-07/19-01/359, UP/II-008-07/19-01/360, UP/II-008-07/19-01/281;</w:t>
      </w:r>
      <w:r w:rsidRPr="002E5315">
        <w:rPr>
          <w:rFonts w:ascii="Gill Sans MT" w:hAnsi="Gill Sans MT" w:cs="Arial"/>
          <w:sz w:val="23"/>
          <w:szCs w:val="23"/>
        </w:rPr>
        <w:tab/>
      </w:r>
    </w:p>
    <w:p w14:paraId="237D1A19"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 xml:space="preserve">Pojedinačno specificirani ugovori s dobavljačima iz Registra ugovora javne nabave (tijelo javne vlasti: HBOR), rješenje: KLASA: UP/II-008-07/19-01/711; </w:t>
      </w:r>
    </w:p>
    <w:p w14:paraId="115F04EE"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Pravilnik o poslovnoj tajni (tijelo javne vlasti: Zračna luka Dubrovnik d.o.o., Hrvatska pošta d.d.), rješenja: KLASA: UP/II-008-07/19-01/265, UP/II-008-07/19-01/365;</w:t>
      </w:r>
    </w:p>
    <w:p w14:paraId="054CDBC2"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Ukupne isplate vještacima (tijelo javne vlasti: Trgovački sud u Splitu, Općinski sud u Karlovcu, Rijeci i Splitu) rješenja KLASA: UP/II-008-07/18-01/94, UP/II-008-07/18-01/88, UP/II-008-07/18-01/98, UP/II-008-07/18-01/575;</w:t>
      </w:r>
    </w:p>
    <w:p w14:paraId="709744EA" w14:textId="58C7AA3A"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Zapisnik o inspekcijskom nadzoru/nadzoru nad radomu tijela (tijelo javne vlasti: Grad Zagreb, Ministarstvo znanosti i obrazovanja, Državni inspektorat,</w:t>
      </w:r>
      <w:r w:rsidR="00954DB8" w:rsidRPr="002E5315">
        <w:rPr>
          <w:rFonts w:ascii="Gill Sans MT" w:hAnsi="Gill Sans MT" w:cs="Arial"/>
          <w:sz w:val="23"/>
          <w:szCs w:val="23"/>
        </w:rPr>
        <w:t xml:space="preserve"> </w:t>
      </w:r>
      <w:r w:rsidRPr="002E5315">
        <w:rPr>
          <w:rFonts w:ascii="Gill Sans MT" w:hAnsi="Gill Sans MT" w:cs="Arial"/>
          <w:sz w:val="23"/>
          <w:szCs w:val="23"/>
        </w:rPr>
        <w:t>Osnovna škola Vjenceslava Novaka,</w:t>
      </w:r>
      <w:r w:rsidR="00954DB8" w:rsidRPr="002E5315">
        <w:rPr>
          <w:rFonts w:ascii="Gill Sans MT" w:hAnsi="Gill Sans MT" w:cs="Arial"/>
          <w:sz w:val="23"/>
          <w:szCs w:val="23"/>
        </w:rPr>
        <w:t xml:space="preserve"> </w:t>
      </w:r>
      <w:r w:rsidRPr="002E5315">
        <w:rPr>
          <w:rFonts w:ascii="Gill Sans MT" w:hAnsi="Gill Sans MT" w:cs="Arial"/>
          <w:sz w:val="23"/>
          <w:szCs w:val="23"/>
        </w:rPr>
        <w:t>Ministarstvo turizma, Ministarstvo rada i mirovinskog sustava, Ministarstvo mora, prometa i infrastrukture), rješenja: KLASA: UP/II-008-07/18-01/483, UP/II-008-07/19-01/318, UP/II-008-07/19-01/388, UP/II-008-07/18-01/854, UP/II-008-07/18-01/924, UP/II-008-07/19-01/20, UP/II-008-07/19-01/784;</w:t>
      </w:r>
    </w:p>
    <w:p w14:paraId="763BC1FC"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Ukupne isplate pojedinim odvjetničkim društvima i javim bilježnicima u određenom vremenskom periodu (tijelo javne vlasti: Hrvatski novčarski zavod d.o.o., HŽ putnički prijevoz d.o.o., Hž Cargo d.o.o., Odašiljači i veze d.o.o.), rješenja: KLASA: UP/II-008-07/18-01/914, UP/II-008-07/18-01/915, UP/II-008-07/19-01/9, UP/II-008-07/19-01/68;</w:t>
      </w:r>
    </w:p>
    <w:p w14:paraId="6D8DDFD9"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Imena i prezimena svih osoba koje su primile uplate u određenoj godini za rad u Nadzornom odboru (tijelo javne vlasti: Hrvatska psihološka komora), rješenje KLASA: UP/II-008-07/19-01/87;</w:t>
      </w:r>
    </w:p>
    <w:p w14:paraId="46F07616" w14:textId="77777777" w:rsidR="004D3A7E" w:rsidRDefault="008C26E6" w:rsidP="004D3A7E">
      <w:pPr>
        <w:pStyle w:val="Odlomakpopisa"/>
        <w:numPr>
          <w:ilvl w:val="0"/>
          <w:numId w:val="16"/>
        </w:numPr>
        <w:ind w:left="357" w:hanging="357"/>
        <w:rPr>
          <w:rFonts w:ascii="Gill Sans MT" w:hAnsi="Gill Sans MT" w:cs="Arial"/>
          <w:sz w:val="23"/>
          <w:szCs w:val="23"/>
        </w:rPr>
      </w:pPr>
      <w:r w:rsidRPr="002E5315">
        <w:rPr>
          <w:rFonts w:ascii="Gill Sans MT" w:hAnsi="Gill Sans MT" w:cs="Arial"/>
          <w:sz w:val="23"/>
          <w:szCs w:val="23"/>
        </w:rPr>
        <w:t>Imena i prezimena članova stručnog povjerenstva za ocjenjivanje prijavljenih projekata na natječaju (tijelo javne vlasti: Ministarstvo vanjskih i europskih poslova), rješenje KLASA: UP/II-008-07/19-01/99;</w:t>
      </w:r>
    </w:p>
    <w:p w14:paraId="5D1DACE1" w14:textId="4D015396" w:rsidR="008C26E6" w:rsidRPr="004D3A7E" w:rsidRDefault="008C26E6" w:rsidP="004D3A7E">
      <w:pPr>
        <w:pStyle w:val="Odlomakpopisa"/>
        <w:numPr>
          <w:ilvl w:val="0"/>
          <w:numId w:val="16"/>
        </w:numPr>
        <w:spacing w:after="0"/>
        <w:rPr>
          <w:rFonts w:ascii="Gill Sans MT" w:hAnsi="Gill Sans MT" w:cs="Arial"/>
          <w:sz w:val="23"/>
          <w:szCs w:val="23"/>
        </w:rPr>
      </w:pPr>
      <w:r w:rsidRPr="004D3A7E">
        <w:rPr>
          <w:rFonts w:ascii="Gill Sans MT" w:hAnsi="Gill Sans MT" w:cs="Arial"/>
          <w:sz w:val="23"/>
          <w:szCs w:val="23"/>
        </w:rPr>
        <w:t>Natječajna dokumentacija na natječaj za radno mjesto izabrane osobe (tijelo javne vlasti: Zagorska razvojna agencija, Srednja Škola Bedekovčina, Osnovna škola Matije Gupca, Škola za umjetnost, dizajn, grafiku i odjeću Zabok, Hrvatsko narodno kazalište Ivana pl. Zajca, Opća bolnica Zabok i bolnica hrvatskih veterana), rješenja: KLASA: UP/II-008-07/18-01/849, UP/II-008-07/19-01/30, UP/II-008-07/19-01/52, UP/II-008-07/19-01/445, UP/II-008-07/18-01/569, UP/II-008-07/19-01/319;</w:t>
      </w:r>
    </w:p>
    <w:p w14:paraId="567E26C1"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 xml:space="preserve">Ugovori koje tijela javna vlasti imaju sklopljene (tijelo javne vlasti: Grad Senj, Hrvatski zavod za zdravstveno osiguranje, Vodovod Glina d.o.o., Ministarstvo državne imovine), rješenja: </w:t>
      </w:r>
      <w:r w:rsidRPr="002E5315">
        <w:rPr>
          <w:rFonts w:ascii="Gill Sans MT" w:hAnsi="Gill Sans MT" w:cs="Arial"/>
          <w:sz w:val="23"/>
          <w:szCs w:val="23"/>
        </w:rPr>
        <w:lastRenderedPageBreak/>
        <w:t>KLASA: UP/II-008-07/18-01/530,</w:t>
      </w:r>
      <w:r w:rsidRPr="002E5315">
        <w:rPr>
          <w:rFonts w:ascii="Gill Sans MT" w:hAnsi="Gill Sans MT" w:cs="Arial"/>
          <w:sz w:val="23"/>
          <w:szCs w:val="23"/>
        </w:rPr>
        <w:tab/>
        <w:t>UP/II-008-07/19-01/108, UP/II-008-07/19-01/109, UP/II-008-07/19-01/296; UP/II-008-07/19-01/88;</w:t>
      </w:r>
    </w:p>
    <w:p w14:paraId="40A18CFC"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Ugovor o međusobnim pravima, obvezama i ovlaštenjima sklopljenog između Društva i direktora Društva (tijelo javne vlasti: Županijske ceste Zagrebačke županije d.o.o.), rješenje KLASA: UP/II-008-07/18-01/926;</w:t>
      </w:r>
    </w:p>
    <w:p w14:paraId="10AA7558"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Koncesijski ugovor Luke Dubrovnik te bilo koji dokument koji uređuje poslovanje navedenog Društva na području Lučke uprave Dubrovnik (tijelo javne vlasti: Lučka uprava Dubrovnik), rješenje KLASA: UP/II-008-07/19-01/214;</w:t>
      </w:r>
    </w:p>
    <w:p w14:paraId="7664639E"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Elaborat o izvršenoj reviziji analize troškova poslovanja, blagajničkog poslovanja i ugovora o javnoj nabavi za određene godine (tijelo javne vlasti: Dječji vrtić Cvrčak Knin) rješenje KLASA: UP/II-008-07/19-01/415;</w:t>
      </w:r>
      <w:r w:rsidRPr="002E5315">
        <w:rPr>
          <w:rFonts w:ascii="Gill Sans MT" w:hAnsi="Gill Sans MT" w:cs="Arial"/>
          <w:sz w:val="23"/>
          <w:szCs w:val="23"/>
        </w:rPr>
        <w:tab/>
      </w:r>
    </w:p>
    <w:p w14:paraId="044E9C83"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Izvješće o provedenoj redovnoj djelomičnoj kontroli poslovanja i izvršavanja ugovornih obveza u Specijalnoj bolnici za kronične bolesti dječje dobi Gornja Bistra (tijelo javne vlast: Hrvatski zavod za zdravstveno osiguranje), rješenje: KLASA: UP/II-008-07/19-01/830;</w:t>
      </w:r>
    </w:p>
    <w:p w14:paraId="56D707A9"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Dokumentacija nabave usluge zakupa medijskog prostora za promidžbenu kampanju dopunskog zdravstvenog osiguranja(tijelo javne vlast: Hrvatski zavod za zdravstveno osiguranje), rješenje: KLASA: UP/II-008-07/19-01/10;</w:t>
      </w:r>
      <w:r w:rsidRPr="002E5315">
        <w:rPr>
          <w:rFonts w:ascii="Gill Sans MT" w:hAnsi="Gill Sans MT" w:cs="Arial"/>
          <w:sz w:val="23"/>
          <w:szCs w:val="23"/>
        </w:rPr>
        <w:tab/>
      </w:r>
    </w:p>
    <w:p w14:paraId="124DAF78" w14:textId="77777777" w:rsidR="008C26E6"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Podaci o dobavljačima usluga promidžbe i informiranja, intelektualnih i osobnih usluga, ostalih usluga i korisnicima donacija za određene godinu (tijelo javne vlasti: Turistička zajednica grada Pule, rješenje KLASA: UP/II-008-07/18-01/808;</w:t>
      </w:r>
      <w:r w:rsidRPr="002E5315">
        <w:rPr>
          <w:rFonts w:ascii="Gill Sans MT" w:hAnsi="Gill Sans MT" w:cs="Arial"/>
          <w:sz w:val="23"/>
          <w:szCs w:val="23"/>
        </w:rPr>
        <w:tab/>
        <w:t xml:space="preserve"> </w:t>
      </w:r>
    </w:p>
    <w:p w14:paraId="59AA3771" w14:textId="49515699" w:rsidR="005307B5" w:rsidRPr="002E5315" w:rsidRDefault="008C26E6" w:rsidP="000114BF">
      <w:pPr>
        <w:pStyle w:val="Odlomakpopisa"/>
        <w:numPr>
          <w:ilvl w:val="0"/>
          <w:numId w:val="16"/>
        </w:numPr>
        <w:shd w:val="clear" w:color="auto" w:fill="FFFFFF" w:themeFill="background1"/>
        <w:rPr>
          <w:rFonts w:ascii="Gill Sans MT" w:hAnsi="Gill Sans MT" w:cs="Arial"/>
          <w:sz w:val="23"/>
          <w:szCs w:val="23"/>
        </w:rPr>
      </w:pPr>
      <w:r w:rsidRPr="002E5315">
        <w:rPr>
          <w:rFonts w:ascii="Gill Sans MT" w:hAnsi="Gill Sans MT" w:cs="Arial"/>
          <w:sz w:val="23"/>
          <w:szCs w:val="23"/>
        </w:rPr>
        <w:t>Popis svih zaposlenih, imena, prezimena i radna mjesta (tijelo javne vlasti: Grad Sisak, Dubrovačko-neretvanska županija, Ministarstvo znanosti i obrazovanja) rješenja KLASA: UP/II-008-07/19-01/74, UP/II-008-07/19-01/189, UP/II-008-07/19-01/439</w:t>
      </w:r>
      <w:r w:rsidR="005307B5" w:rsidRPr="002E5315">
        <w:rPr>
          <w:rFonts w:ascii="Gill Sans MT" w:hAnsi="Gill Sans MT" w:cs="Arial"/>
          <w:sz w:val="23"/>
          <w:szCs w:val="23"/>
        </w:rPr>
        <w:t>.</w:t>
      </w:r>
    </w:p>
    <w:p w14:paraId="38B8B06E" w14:textId="25991FE5" w:rsidR="00B20D87" w:rsidRPr="002E5315" w:rsidRDefault="00B20D87" w:rsidP="0067150C">
      <w:pPr>
        <w:pStyle w:val="Naslov2"/>
      </w:pPr>
      <w:bookmarkStart w:id="37" w:name="_Toc36308942"/>
      <w:r w:rsidRPr="002E5315">
        <w:t>Izvršenje pravomoćnih rješenja</w:t>
      </w:r>
      <w:bookmarkEnd w:id="37"/>
    </w:p>
    <w:p w14:paraId="29D22711" w14:textId="19F8BEF9" w:rsidR="008C26E6" w:rsidRPr="002E5315" w:rsidRDefault="008C26E6" w:rsidP="00A37731">
      <w:r w:rsidRPr="002E5315">
        <w:t>Povjerenik je tijekom 2019. osim žalbe zbog nerješavanja zahtjeva za pristup informacijama ili žalbe na odbijajuća ili odbacujuća rješenja imao u radu i predmete</w:t>
      </w:r>
      <w:r w:rsidR="00954DB8" w:rsidRPr="002E5315">
        <w:t xml:space="preserve"> </w:t>
      </w:r>
      <w:r w:rsidRPr="002E5315">
        <w:t>zbog neizvršenja pravomoćnih odluka od strane tijela javne vlasti.</w:t>
      </w:r>
    </w:p>
    <w:p w14:paraId="7E318EEA" w14:textId="3D7EB2A2" w:rsidR="008C26E6" w:rsidRPr="002E5315" w:rsidRDefault="008C26E6" w:rsidP="00A37731">
      <w:r w:rsidRPr="002E5315">
        <w:t>Zbog nepostupanja Hrvatska komore fizioterapeuta po pravomoćnoj odluci Visokog upravnog suda RH, Povjerenik se obratio Visokom upravnom sudu RH radi rješavanja sukoba nadležnosti jer je Povjerenik zauzeo stav da je u tom slučaju Gradski ured za opću upravu Grada Zagreba nadležan za izvršenje rješenja, a što je Visoki upravni sud RH potvrdio. Gradski ured za opću upravu Grada Zagreba je donio rješenje o izvršenju te je Hrvatska komor</w:t>
      </w:r>
      <w:r w:rsidR="001C4F24">
        <w:t>a</w:t>
      </w:r>
      <w:r w:rsidRPr="002E5315">
        <w:t xml:space="preserve"> fizioterapeuta postupila po pravomoćnoj presudi Visokog upravnog suda RH.</w:t>
      </w:r>
    </w:p>
    <w:p w14:paraId="4E449BBF" w14:textId="3304EBA3" w:rsidR="008C26E6" w:rsidRPr="002E5315" w:rsidRDefault="008C26E6" w:rsidP="00A37731">
      <w:r w:rsidRPr="002E5315">
        <w:t>Međutim, s obzirom na to da je Grad Zagreb u predmetima u</w:t>
      </w:r>
      <w:r w:rsidR="00954DB8" w:rsidRPr="002E5315">
        <w:t xml:space="preserve"> </w:t>
      </w:r>
      <w:r w:rsidRPr="002E5315">
        <w:t>kojima je Povjerenik naložio rješavanje zahtjeva ili u kojima je poništio rješenja Grada Zagreba i predmet vratio na ponovni postupak zauzeo stav da nisu nadležni za donošenje rješenje o izvršenju rješenja, Povjerenik je u tim slučajevima uputio prijedlog radi rješavanja negativnog sukoba nadležnosti.</w:t>
      </w:r>
    </w:p>
    <w:p w14:paraId="3917C83A" w14:textId="0237DE86" w:rsidR="008C26E6" w:rsidRPr="002E5315" w:rsidRDefault="008C26E6" w:rsidP="00A37731">
      <w:r w:rsidRPr="002E5315">
        <w:lastRenderedPageBreak/>
        <w:t>Visoki upravni sud RH je u takvim slučajevima prijedlog odbacivao te je obrazlagao na način da je u</w:t>
      </w:r>
      <w:r w:rsidR="00954DB8" w:rsidRPr="002E5315">
        <w:t xml:space="preserve"> </w:t>
      </w:r>
      <w:r w:rsidRPr="002E5315">
        <w:t>situaciji ponovljene šutnje prvostupanjskog javnopravnog tijela, a povodom žalbe zbog tog nepostupanja, Povjerenik temeljem članka 25. stavka 7. ZPPI-ja ovlašten rješenjem naložiti tijelu javne vlasti da korisniku omogući pristup traženoj informaciji.</w:t>
      </w:r>
    </w:p>
    <w:p w14:paraId="60692ABE" w14:textId="77777777" w:rsidR="008C26E6" w:rsidRPr="002E5315" w:rsidRDefault="008C26E6" w:rsidP="00A37731">
      <w:r w:rsidRPr="002E5315">
        <w:t>Visoki upravni sud RH je zauzeo stav da Povjerenik kao žalbeno tijelo nema pravne mogućnosti za prisilno izvršenje svojeg rješenja ali ima mogućnosti propisane odredbom članka 35. ZPPI-ja između kojih je i podnošenje optužnog prijedloga i izdavanje prekršajnog naloga za utvrđene prekršaje, ali i upravni nadzor te inicijativu za promjenu propisa.</w:t>
      </w:r>
    </w:p>
    <w:p w14:paraId="3D99946A" w14:textId="7479EEAA" w:rsidR="008C26E6" w:rsidRPr="002E5315" w:rsidRDefault="008C26E6" w:rsidP="00A37731">
      <w:r w:rsidRPr="002E5315">
        <w:t>Također, Visoki upravni sud RH je mišljenja da nedostaju</w:t>
      </w:r>
      <w:r w:rsidR="00954DB8" w:rsidRPr="002E5315">
        <w:t xml:space="preserve"> </w:t>
      </w:r>
      <w:r w:rsidRPr="002E5315">
        <w:t>upravno-postupovni instrumenti koji bi omogućili efikasno provođenje naloga Povjerenika te da je potrebno poboljšati zakonodavni okvir, a do tada je za slučaj neposluha prvostupanjsko tijelo potrebno izložiti propisanim pravnim posljedicama.</w:t>
      </w:r>
    </w:p>
    <w:p w14:paraId="47DF74BC" w14:textId="38CA1FBC" w:rsidR="008C26E6" w:rsidRPr="002E5315" w:rsidRDefault="008C26E6" w:rsidP="00A37731">
      <w:r w:rsidRPr="002E5315">
        <w:t>Također Sud je stajališta da se u tim slučajevima</w:t>
      </w:r>
      <w:r w:rsidR="00954DB8" w:rsidRPr="002E5315">
        <w:t xml:space="preserve"> </w:t>
      </w:r>
      <w:r w:rsidRPr="002E5315">
        <w:t>uopće ne radi o izvršenju nenovčane obveze u smislu odredbe članka članka 138. - 144. ZUP-a nego se radi o institutu nepostupanja (šutnje) prvostupanjskog javnopravnog tijela, te stoga nema uvjeta za odlučivanje o prijedlogu o sukobu nadležnosti.</w:t>
      </w:r>
    </w:p>
    <w:p w14:paraId="3A8EB79A" w14:textId="77777777" w:rsidR="00633D93" w:rsidRDefault="008C26E6" w:rsidP="00A37731">
      <w:r w:rsidRPr="002E5315">
        <w:t>Ova pravna situacija je raspravljena na sjednici sudaca te je donesen Zaključak broj: 6-Su-574/2019-3 od 18. studenoga 2019. da primjena članka 138. ZUP-a glasi da rješenje Povjerenika kojim nalaže prvostupanjskom tijelu da odluči o zahtjevu stranke nije rješenje koje se izvršava u smislu odredbi članaka 133. do 144. ZUP-a, već se, kad obveznik rješavanja zahtjeva stranke (prvostupanjsko tijelo) ne postupi po rješenju Povjerenika, radi o propuštanju prvostupanjskog javnopravnog tijela da u određenom roku odluči o zahtjevu stranke („šutnja uprave“), pa stranka temeljem članka 25. ZPPI-ja može izjaviti žalbu Povjereniku i inicirati</w:t>
      </w:r>
      <w:r w:rsidR="00954DB8" w:rsidRPr="002E5315">
        <w:t xml:space="preserve"> </w:t>
      </w:r>
      <w:r w:rsidRPr="002E5315">
        <w:t>pokretanje prekršajnog postupka</w:t>
      </w:r>
      <w:r w:rsidR="00633D93">
        <w:t>.</w:t>
      </w:r>
    </w:p>
    <w:p w14:paraId="4EC0FB25" w14:textId="4A8A6698" w:rsidR="00B20D87" w:rsidRPr="002E5315" w:rsidRDefault="008C26E6" w:rsidP="00A37731">
      <w:r w:rsidRPr="002E5315">
        <w:t>Stoga će Povjerenik za otklanjanje ovih nedostataka predložiti u izmjenama ZPPI-ja zakonsku normu koja će osigurati efikasno provođenje naloga Povjerenika</w:t>
      </w:r>
      <w:r w:rsidR="00B20D87" w:rsidRPr="002E5315">
        <w:t>.</w:t>
      </w:r>
    </w:p>
    <w:p w14:paraId="5C6F9C12" w14:textId="3FA37552" w:rsidR="00B20D87" w:rsidRPr="002E5315" w:rsidRDefault="00B20D87" w:rsidP="00B20D87">
      <w:pPr>
        <w:pStyle w:val="Naslov2"/>
      </w:pPr>
      <w:bookmarkStart w:id="38" w:name="_Toc36308943"/>
      <w:r w:rsidRPr="002E5315">
        <w:t>Sudski nadzor</w:t>
      </w:r>
      <w:bookmarkEnd w:id="38"/>
    </w:p>
    <w:p w14:paraId="5B028313" w14:textId="77777777" w:rsidR="008C26E6" w:rsidRPr="002E5315" w:rsidRDefault="008C26E6" w:rsidP="008C26E6">
      <w:pPr>
        <w:shd w:val="clear" w:color="auto" w:fill="FFFFFF" w:themeFill="background1"/>
        <w:rPr>
          <w:rFonts w:cs="Segoe UI"/>
          <w:szCs w:val="23"/>
        </w:rPr>
      </w:pPr>
      <w:r w:rsidRPr="002E5315">
        <w:rPr>
          <w:rFonts w:cs="Segoe UI"/>
          <w:szCs w:val="23"/>
        </w:rPr>
        <w:t>Korisnicima prava na pristup i ponovnu uporabu informacija osigurana je pravna zaštita pred Visokim upravnim sudom RH protiv rješenja Povjerenika te u slučaju neodlučivanja Povjerenika u propisanim rokovima (tzv. šutnja uprave).</w:t>
      </w:r>
    </w:p>
    <w:p w14:paraId="29A63A30" w14:textId="77777777" w:rsidR="00633D93" w:rsidRDefault="008C26E6" w:rsidP="008C26E6">
      <w:pPr>
        <w:shd w:val="clear" w:color="auto" w:fill="FFFFFF" w:themeFill="background1"/>
        <w:rPr>
          <w:rFonts w:cs="Segoe UI"/>
          <w:szCs w:val="23"/>
        </w:rPr>
      </w:pPr>
      <w:r w:rsidRPr="002E5315">
        <w:rPr>
          <w:rFonts w:cs="Segoe UI"/>
          <w:szCs w:val="23"/>
        </w:rPr>
        <w:t>Upravni spor prema članku 26. ZPPI-ja može tužbom pokrenuti korisnik prava na pristup informacijama, kao i tijelo javne vlasti koje je odlučivalo u prvom stupnju. Podnesena tužba ima odgodni učinak ako je rješenjem Povjerenika korisniku omogućen pristup informaciji. Odluku o tužbi Visoki upravni sud RH mora donijeti roku od 90 dana, a sam postupak uređen je Zakonom o upravnim sporovima (NN 20/10, 143/12, 152/14, 94/16 i 29/17)</w:t>
      </w:r>
      <w:r w:rsidR="00633D93">
        <w:rPr>
          <w:rFonts w:cs="Segoe UI"/>
          <w:szCs w:val="23"/>
        </w:rPr>
        <w:t>.</w:t>
      </w:r>
    </w:p>
    <w:p w14:paraId="3E8BF618" w14:textId="10265562" w:rsidR="00B20D87" w:rsidRPr="002E5315" w:rsidRDefault="008C26E6" w:rsidP="008C26E6">
      <w:pPr>
        <w:shd w:val="clear" w:color="auto" w:fill="FFFFFF" w:themeFill="background1"/>
        <w:rPr>
          <w:rFonts w:cs="Segoe UI"/>
          <w:szCs w:val="23"/>
        </w:rPr>
      </w:pPr>
      <w:r w:rsidRPr="002E5315">
        <w:rPr>
          <w:rFonts w:cs="Segoe UI"/>
          <w:szCs w:val="23"/>
        </w:rPr>
        <w:t>Statističke podatke koji se odnose na upravne sporove iz 2019. sadržava Tablica 3.9., pri čemu je potrebno razlikovati započete upravne sporove (podnesene tužbe) i riješene upravnosudske predmete (sudske odluke po tužbama</w:t>
      </w:r>
      <w:r w:rsidR="00B20D87" w:rsidRPr="002E5315">
        <w:rPr>
          <w:rFonts w:cs="Segoe UI"/>
          <w:szCs w:val="23"/>
        </w:rPr>
        <w:t>).</w:t>
      </w:r>
    </w:p>
    <w:p w14:paraId="1A6CD3DB" w14:textId="46F04AF7" w:rsidR="00B20D87" w:rsidRPr="002E5315" w:rsidRDefault="00B20D87" w:rsidP="00B20D87">
      <w:pPr>
        <w:pStyle w:val="Naslov3"/>
      </w:pPr>
      <w:bookmarkStart w:id="39" w:name="_Toc36308944"/>
      <w:r w:rsidRPr="002E5315">
        <w:lastRenderedPageBreak/>
        <w:t>Podnošenje tužbi</w:t>
      </w:r>
      <w:bookmarkEnd w:id="39"/>
      <w:r w:rsidRPr="002E5315">
        <w:t xml:space="preserve"> </w:t>
      </w:r>
    </w:p>
    <w:p w14:paraId="4D531A8E" w14:textId="77777777" w:rsidR="008C26E6" w:rsidRPr="002E5315" w:rsidRDefault="008C26E6" w:rsidP="008C26E6">
      <w:pPr>
        <w:shd w:val="clear" w:color="auto" w:fill="FFFFFF" w:themeFill="background1"/>
        <w:rPr>
          <w:rFonts w:cs="Segoe UI"/>
          <w:szCs w:val="23"/>
        </w:rPr>
      </w:pPr>
      <w:r w:rsidRPr="002E5315">
        <w:rPr>
          <w:rFonts w:cs="Segoe UI"/>
          <w:szCs w:val="23"/>
        </w:rPr>
        <w:t>Pred Visokim upravnim sudom RH je tijekom 2019. pokrenuto 177 upravnih sporova.</w:t>
      </w:r>
      <w:r w:rsidRPr="002E5315">
        <w:rPr>
          <w:rFonts w:cs="Segoe UI"/>
          <w:color w:val="FF0000"/>
          <w:szCs w:val="23"/>
        </w:rPr>
        <w:t xml:space="preserve"> </w:t>
      </w:r>
      <w:r w:rsidRPr="002E5315">
        <w:rPr>
          <w:rFonts w:cs="Segoe UI"/>
          <w:szCs w:val="23"/>
        </w:rPr>
        <w:t>Kad se usporedi s 2016. kad su pokrenuta 34, s 2017. kad je pokrenuto 175 upravnih sporova, te 2018. u kojoj je pokrenuto je 300 upravnih sporova, vidljivo je da je 2019. pokrenuto 41%</w:t>
      </w:r>
      <w:r w:rsidRPr="002E5315">
        <w:rPr>
          <w:rFonts w:cs="Segoe UI"/>
          <w:color w:val="FF0000"/>
          <w:szCs w:val="23"/>
        </w:rPr>
        <w:t xml:space="preserve"> </w:t>
      </w:r>
      <w:r w:rsidRPr="002E5315">
        <w:rPr>
          <w:rFonts w:cs="Segoe UI"/>
          <w:szCs w:val="23"/>
        </w:rPr>
        <w:t>upravnih sporova manje nego prethodne godine.</w:t>
      </w:r>
    </w:p>
    <w:p w14:paraId="45091357" w14:textId="082E9FA4" w:rsidR="00B20D87" w:rsidRPr="002E5315" w:rsidRDefault="008C26E6" w:rsidP="008C26E6">
      <w:pPr>
        <w:shd w:val="clear" w:color="auto" w:fill="FFFFFF" w:themeFill="background1"/>
        <w:rPr>
          <w:rFonts w:cs="Segoe UI"/>
          <w:szCs w:val="23"/>
        </w:rPr>
      </w:pPr>
      <w:r w:rsidRPr="002E5315">
        <w:rPr>
          <w:rFonts w:cs="Segoe UI"/>
          <w:szCs w:val="23"/>
        </w:rPr>
        <w:t>Upravni sporovi su pokrenuti u 112 slučajeva (63,28%) protiv rješenja Povjerenika i 1 (0,56%) u odnosu na rješenje o prigovoru na izjavljenu obavijest iz članka 23. stavka 1. točke 2.-6. ZPPI-ja, dok je u 64 ili 36,16% slučajeva upravni spor pokrenut zbog nerješavanja žalbe u zakonskim rokovima (tzv. šutnja uprave).</w:t>
      </w:r>
      <w:r w:rsidRPr="002E5315">
        <w:rPr>
          <w:rFonts w:cs="Segoe UI"/>
          <w:color w:val="FF0000"/>
          <w:szCs w:val="23"/>
        </w:rPr>
        <w:t xml:space="preserve"> </w:t>
      </w:r>
      <w:r w:rsidRPr="002E5315">
        <w:rPr>
          <w:rFonts w:cs="Segoe UI"/>
          <w:szCs w:val="23"/>
        </w:rPr>
        <w:t>Tijekom 2019. je u odnosu na pokrenute upravne sporove izrađeno 185 odgovora na tužbu, s time da se određeni</w:t>
      </w:r>
      <w:r w:rsidRPr="002E5315">
        <w:rPr>
          <w:rFonts w:cs="Segoe UI"/>
          <w:color w:val="FF0000"/>
          <w:szCs w:val="23"/>
        </w:rPr>
        <w:t xml:space="preserve"> </w:t>
      </w:r>
      <w:r w:rsidRPr="002E5315">
        <w:rPr>
          <w:rFonts w:cs="Segoe UI"/>
          <w:szCs w:val="23"/>
        </w:rPr>
        <w:t>broj odgovora odnosi na tužbe zaprimljene krajem 2018</w:t>
      </w:r>
      <w:r w:rsidR="00B20D87" w:rsidRPr="002E5315">
        <w:rPr>
          <w:rFonts w:cs="Segoe UI"/>
          <w:szCs w:val="23"/>
        </w:rPr>
        <w:t>.</w:t>
      </w:r>
    </w:p>
    <w:p w14:paraId="0837CF52" w14:textId="1D0BD48C" w:rsidR="00B20D87" w:rsidRPr="002E5315" w:rsidRDefault="00B20D87" w:rsidP="00E42F27">
      <w:pPr>
        <w:pStyle w:val="Tijeloteksta-uvlaka3"/>
        <w:keepNext/>
        <w:spacing w:before="240"/>
        <w:ind w:left="0" w:firstLine="0"/>
        <w:rPr>
          <w:rFonts w:cs="Arial"/>
          <w:sz w:val="20"/>
          <w:lang w:val="hr-HR"/>
        </w:rPr>
      </w:pPr>
      <w:r w:rsidRPr="002E5315">
        <w:rPr>
          <w:rFonts w:cs="Arial"/>
          <w:sz w:val="20"/>
          <w:lang w:val="hr-HR"/>
        </w:rPr>
        <w:t xml:space="preserve">Tablica 3.9. Upravni sporovi u 2019. </w:t>
      </w:r>
    </w:p>
    <w:tbl>
      <w:tblPr>
        <w:tblStyle w:val="ListTable2-Accent11"/>
        <w:tblW w:w="9180" w:type="dxa"/>
        <w:jc w:val="center"/>
        <w:tblLayout w:type="fixed"/>
        <w:tblLook w:val="04A0" w:firstRow="1" w:lastRow="0" w:firstColumn="1" w:lastColumn="0" w:noHBand="0" w:noVBand="1"/>
      </w:tblPr>
      <w:tblGrid>
        <w:gridCol w:w="5495"/>
        <w:gridCol w:w="1842"/>
        <w:gridCol w:w="1843"/>
      </w:tblGrid>
      <w:tr w:rsidR="00B20D87" w:rsidRPr="002E5315" w14:paraId="2E6B22C1" w14:textId="77777777" w:rsidTr="007C569F">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495" w:type="dxa"/>
            <w:noWrap/>
            <w:hideMark/>
          </w:tcPr>
          <w:p w14:paraId="601920AE" w14:textId="77777777" w:rsidR="00B20D87" w:rsidRPr="002E5315" w:rsidRDefault="00B20D87" w:rsidP="007C569F">
            <w:pPr>
              <w:rPr>
                <w:rFonts w:cs="Arial"/>
                <w:b w:val="0"/>
                <w:bCs w:val="0"/>
                <w:sz w:val="20"/>
                <w:szCs w:val="20"/>
                <w:lang w:eastAsia="zh-CN"/>
              </w:rPr>
            </w:pPr>
            <w:r w:rsidRPr="002E5315">
              <w:rPr>
                <w:rFonts w:cs="Arial"/>
                <w:sz w:val="20"/>
                <w:szCs w:val="20"/>
                <w:lang w:eastAsia="zh-CN"/>
              </w:rPr>
              <w:t>Upravni sporovi i tužbe u 201</w:t>
            </w:r>
            <w:r w:rsidRPr="002E5315">
              <w:rPr>
                <w:rFonts w:cs="Arial"/>
                <w:bCs w:val="0"/>
                <w:sz w:val="20"/>
                <w:szCs w:val="20"/>
                <w:lang w:eastAsia="zh-CN"/>
              </w:rPr>
              <w:t>9</w:t>
            </w:r>
            <w:r w:rsidRPr="002E5315">
              <w:rPr>
                <w:rFonts w:cs="Arial"/>
                <w:sz w:val="20"/>
                <w:szCs w:val="20"/>
                <w:lang w:eastAsia="zh-CN"/>
              </w:rPr>
              <w:t>.</w:t>
            </w:r>
          </w:p>
        </w:tc>
        <w:tc>
          <w:tcPr>
            <w:tcW w:w="1842" w:type="dxa"/>
            <w:noWrap/>
            <w:hideMark/>
          </w:tcPr>
          <w:p w14:paraId="3F078D46" w14:textId="77777777" w:rsidR="00B20D87" w:rsidRPr="002E5315" w:rsidRDefault="00B20D87" w:rsidP="007C569F">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zh-CN"/>
              </w:rPr>
            </w:pPr>
            <w:r w:rsidRPr="002E5315">
              <w:rPr>
                <w:rFonts w:cs="Arial"/>
                <w:sz w:val="20"/>
                <w:szCs w:val="20"/>
                <w:lang w:eastAsia="zh-CN"/>
              </w:rPr>
              <w:t>Broj</w:t>
            </w:r>
          </w:p>
        </w:tc>
        <w:tc>
          <w:tcPr>
            <w:tcW w:w="1843" w:type="dxa"/>
            <w:noWrap/>
            <w:hideMark/>
          </w:tcPr>
          <w:p w14:paraId="1FC39D02" w14:textId="77777777" w:rsidR="00B20D87" w:rsidRPr="002E5315" w:rsidRDefault="00B20D87" w:rsidP="007C569F">
            <w:pPr>
              <w:jc w:val="center"/>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zh-CN"/>
              </w:rPr>
            </w:pPr>
            <w:r w:rsidRPr="002E5315">
              <w:rPr>
                <w:rFonts w:cs="Arial"/>
                <w:sz w:val="20"/>
                <w:szCs w:val="20"/>
                <w:lang w:eastAsia="zh-CN"/>
              </w:rPr>
              <w:t>%</w:t>
            </w:r>
          </w:p>
        </w:tc>
      </w:tr>
      <w:tr w:rsidR="00B20D87" w:rsidRPr="002E5315" w14:paraId="0B299EFB" w14:textId="77777777" w:rsidTr="007C569F">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495" w:type="dxa"/>
            <w:noWrap/>
            <w:hideMark/>
          </w:tcPr>
          <w:p w14:paraId="5F211576" w14:textId="77777777" w:rsidR="00B20D87" w:rsidRPr="002E5315" w:rsidRDefault="00B20D87" w:rsidP="007C569F">
            <w:pPr>
              <w:rPr>
                <w:rFonts w:cs="Arial"/>
                <w:bCs w:val="0"/>
                <w:sz w:val="20"/>
                <w:szCs w:val="20"/>
                <w:lang w:eastAsia="zh-CN"/>
              </w:rPr>
            </w:pPr>
            <w:r w:rsidRPr="002E5315">
              <w:rPr>
                <w:rFonts w:cs="Arial"/>
                <w:sz w:val="20"/>
                <w:szCs w:val="20"/>
                <w:lang w:eastAsia="zh-CN"/>
              </w:rPr>
              <w:t xml:space="preserve">Zaprimljene tužbe </w:t>
            </w:r>
            <w:r w:rsidRPr="002E5315">
              <w:rPr>
                <w:rFonts w:cs="Arial"/>
                <w:bCs w:val="0"/>
                <w:sz w:val="20"/>
                <w:szCs w:val="20"/>
                <w:lang w:eastAsia="zh-CN"/>
              </w:rPr>
              <w:t xml:space="preserve">u 2019. </w:t>
            </w:r>
            <w:r w:rsidRPr="002E5315">
              <w:rPr>
                <w:rFonts w:cs="Arial"/>
                <w:sz w:val="20"/>
                <w:szCs w:val="20"/>
                <w:lang w:eastAsia="zh-CN"/>
              </w:rPr>
              <w:t>prema osnovi</w:t>
            </w:r>
          </w:p>
        </w:tc>
        <w:tc>
          <w:tcPr>
            <w:tcW w:w="1842" w:type="dxa"/>
            <w:noWrap/>
          </w:tcPr>
          <w:p w14:paraId="1341376C"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zh-CN"/>
              </w:rPr>
            </w:pPr>
            <w:r w:rsidRPr="002E5315">
              <w:rPr>
                <w:rFonts w:cs="Arial"/>
                <w:sz w:val="20"/>
                <w:szCs w:val="20"/>
                <w:lang w:eastAsia="zh-CN"/>
              </w:rPr>
              <w:t>177</w:t>
            </w:r>
          </w:p>
        </w:tc>
        <w:tc>
          <w:tcPr>
            <w:tcW w:w="1843" w:type="dxa"/>
            <w:noWrap/>
          </w:tcPr>
          <w:p w14:paraId="47F7DEC2"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zh-CN"/>
              </w:rPr>
            </w:pPr>
            <w:r w:rsidRPr="002E5315">
              <w:rPr>
                <w:rFonts w:cs="Arial"/>
                <w:sz w:val="20"/>
                <w:szCs w:val="20"/>
                <w:lang w:eastAsia="zh-CN"/>
              </w:rPr>
              <w:t>100,00%</w:t>
            </w:r>
          </w:p>
        </w:tc>
      </w:tr>
      <w:tr w:rsidR="00B20D87" w:rsidRPr="002E5315" w14:paraId="61F1872F" w14:textId="77777777" w:rsidTr="007C569F">
        <w:trPr>
          <w:trHeight w:val="267"/>
          <w:jc w:val="center"/>
        </w:trPr>
        <w:tc>
          <w:tcPr>
            <w:cnfStyle w:val="001000000000" w:firstRow="0" w:lastRow="0" w:firstColumn="1" w:lastColumn="0" w:oddVBand="0" w:evenVBand="0" w:oddHBand="0" w:evenHBand="0" w:firstRowFirstColumn="0" w:firstRowLastColumn="0" w:lastRowFirstColumn="0" w:lastRowLastColumn="0"/>
            <w:tcW w:w="5495" w:type="dxa"/>
            <w:noWrap/>
            <w:hideMark/>
          </w:tcPr>
          <w:p w14:paraId="56C4C93E" w14:textId="77777777" w:rsidR="00B20D87" w:rsidRPr="002E5315" w:rsidRDefault="00B20D87" w:rsidP="007C569F">
            <w:pPr>
              <w:rPr>
                <w:rFonts w:cs="Arial"/>
                <w:b w:val="0"/>
                <w:bCs w:val="0"/>
                <w:i/>
                <w:sz w:val="20"/>
                <w:szCs w:val="20"/>
                <w:lang w:eastAsia="zh-CN"/>
              </w:rPr>
            </w:pPr>
            <w:r w:rsidRPr="002E5315">
              <w:rPr>
                <w:rFonts w:cs="Arial"/>
                <w:b w:val="0"/>
                <w:i/>
                <w:sz w:val="20"/>
                <w:szCs w:val="20"/>
                <w:lang w:eastAsia="zh-CN"/>
              </w:rPr>
              <w:tab/>
              <w:t xml:space="preserve">Tužbe protiv rješenja Povjerenika </w:t>
            </w:r>
          </w:p>
        </w:tc>
        <w:tc>
          <w:tcPr>
            <w:tcW w:w="1842" w:type="dxa"/>
            <w:noWrap/>
          </w:tcPr>
          <w:p w14:paraId="566922FE"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zh-CN"/>
              </w:rPr>
            </w:pPr>
            <w:r w:rsidRPr="002E5315">
              <w:rPr>
                <w:rFonts w:cs="Arial"/>
                <w:sz w:val="20"/>
                <w:szCs w:val="20"/>
                <w:lang w:eastAsia="zh-CN"/>
              </w:rPr>
              <w:t>112</w:t>
            </w:r>
          </w:p>
        </w:tc>
        <w:tc>
          <w:tcPr>
            <w:tcW w:w="1843" w:type="dxa"/>
            <w:noWrap/>
          </w:tcPr>
          <w:p w14:paraId="1A705174"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zh-CN"/>
              </w:rPr>
            </w:pPr>
            <w:r w:rsidRPr="002E5315">
              <w:rPr>
                <w:rFonts w:cs="Arial"/>
                <w:sz w:val="20"/>
                <w:szCs w:val="20"/>
                <w:lang w:eastAsia="zh-CN"/>
              </w:rPr>
              <w:t>63,28%</w:t>
            </w:r>
          </w:p>
        </w:tc>
      </w:tr>
      <w:tr w:rsidR="00B20D87" w:rsidRPr="002E5315" w14:paraId="4920D533" w14:textId="77777777" w:rsidTr="007C569F">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495" w:type="dxa"/>
            <w:noWrap/>
            <w:hideMark/>
          </w:tcPr>
          <w:p w14:paraId="09DC112F" w14:textId="77777777" w:rsidR="00B20D87" w:rsidRPr="002E5315" w:rsidRDefault="00B20D87" w:rsidP="007C569F">
            <w:pPr>
              <w:rPr>
                <w:rFonts w:cs="Arial"/>
                <w:b w:val="0"/>
                <w:bCs w:val="0"/>
                <w:i/>
                <w:sz w:val="20"/>
                <w:szCs w:val="20"/>
                <w:lang w:eastAsia="zh-CN"/>
              </w:rPr>
            </w:pPr>
            <w:r w:rsidRPr="002E5315">
              <w:rPr>
                <w:rFonts w:cs="Arial"/>
                <w:b w:val="0"/>
                <w:i/>
                <w:sz w:val="20"/>
                <w:szCs w:val="20"/>
                <w:lang w:eastAsia="zh-CN"/>
              </w:rPr>
              <w:tab/>
              <w:t>Tužbe zbog šutnje uprave</w:t>
            </w:r>
          </w:p>
        </w:tc>
        <w:tc>
          <w:tcPr>
            <w:tcW w:w="1842" w:type="dxa"/>
            <w:noWrap/>
            <w:hideMark/>
          </w:tcPr>
          <w:p w14:paraId="5A8BFC42"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zh-CN"/>
              </w:rPr>
            </w:pPr>
            <w:r w:rsidRPr="002E5315">
              <w:rPr>
                <w:rFonts w:cs="Arial"/>
                <w:sz w:val="20"/>
                <w:szCs w:val="20"/>
                <w:lang w:eastAsia="zh-CN"/>
              </w:rPr>
              <w:t>64</w:t>
            </w:r>
          </w:p>
        </w:tc>
        <w:tc>
          <w:tcPr>
            <w:tcW w:w="1843" w:type="dxa"/>
            <w:noWrap/>
          </w:tcPr>
          <w:p w14:paraId="4759550E"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zh-CN"/>
              </w:rPr>
            </w:pPr>
            <w:r w:rsidRPr="002E5315">
              <w:rPr>
                <w:rFonts w:cs="Arial"/>
                <w:sz w:val="20"/>
                <w:szCs w:val="20"/>
                <w:lang w:eastAsia="zh-CN"/>
              </w:rPr>
              <w:t>36,16%</w:t>
            </w:r>
          </w:p>
        </w:tc>
      </w:tr>
      <w:tr w:rsidR="00B20D87" w:rsidRPr="002E5315" w14:paraId="2633FB76" w14:textId="77777777" w:rsidTr="007C569F">
        <w:trPr>
          <w:trHeight w:val="267"/>
          <w:jc w:val="center"/>
        </w:trPr>
        <w:tc>
          <w:tcPr>
            <w:cnfStyle w:val="001000000000" w:firstRow="0" w:lastRow="0" w:firstColumn="1" w:lastColumn="0" w:oddVBand="0" w:evenVBand="0" w:oddHBand="0" w:evenHBand="0" w:firstRowFirstColumn="0" w:firstRowLastColumn="0" w:lastRowFirstColumn="0" w:lastRowLastColumn="0"/>
            <w:tcW w:w="5495" w:type="dxa"/>
            <w:noWrap/>
          </w:tcPr>
          <w:p w14:paraId="0B9FDA93" w14:textId="77777777" w:rsidR="00B20D87" w:rsidRPr="002E5315" w:rsidRDefault="00B20D87" w:rsidP="007C569F">
            <w:pPr>
              <w:rPr>
                <w:rFonts w:cs="Arial"/>
                <w:b w:val="0"/>
                <w:bCs w:val="0"/>
                <w:i/>
                <w:sz w:val="20"/>
                <w:szCs w:val="20"/>
                <w:lang w:eastAsia="zh-CN"/>
              </w:rPr>
            </w:pPr>
            <w:r w:rsidRPr="002E5315">
              <w:rPr>
                <w:rFonts w:cs="Arial"/>
                <w:b w:val="0"/>
                <w:i/>
                <w:sz w:val="20"/>
                <w:szCs w:val="20"/>
                <w:lang w:eastAsia="zh-CN"/>
              </w:rPr>
              <w:tab/>
              <w:t xml:space="preserve">Tužbe zbog </w:t>
            </w:r>
            <w:r w:rsidRPr="002E5315">
              <w:rPr>
                <w:rFonts w:cs="Arial"/>
                <w:b w:val="0"/>
                <w:bCs w:val="0"/>
                <w:i/>
                <w:sz w:val="20"/>
                <w:szCs w:val="20"/>
                <w:lang w:eastAsia="zh-CN"/>
              </w:rPr>
              <w:t>prigovora</w:t>
            </w:r>
          </w:p>
        </w:tc>
        <w:tc>
          <w:tcPr>
            <w:tcW w:w="1842" w:type="dxa"/>
            <w:noWrap/>
          </w:tcPr>
          <w:p w14:paraId="0E90F31A"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zh-CN"/>
              </w:rPr>
            </w:pPr>
            <w:r w:rsidRPr="002E5315">
              <w:rPr>
                <w:rFonts w:cs="Arial"/>
                <w:sz w:val="20"/>
                <w:szCs w:val="20"/>
                <w:lang w:eastAsia="zh-CN"/>
              </w:rPr>
              <w:t>1</w:t>
            </w:r>
          </w:p>
        </w:tc>
        <w:tc>
          <w:tcPr>
            <w:tcW w:w="1843" w:type="dxa"/>
            <w:noWrap/>
          </w:tcPr>
          <w:p w14:paraId="69CADAAD"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zh-CN"/>
              </w:rPr>
            </w:pPr>
            <w:r w:rsidRPr="002E5315">
              <w:rPr>
                <w:rFonts w:cs="Arial"/>
                <w:sz w:val="20"/>
                <w:szCs w:val="20"/>
                <w:lang w:eastAsia="zh-CN"/>
              </w:rPr>
              <w:t>0,56%</w:t>
            </w:r>
          </w:p>
        </w:tc>
      </w:tr>
      <w:tr w:rsidR="00B20D87" w:rsidRPr="002E5315" w14:paraId="1D10470A" w14:textId="77777777" w:rsidTr="007C569F">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495" w:type="dxa"/>
            <w:noWrap/>
            <w:hideMark/>
          </w:tcPr>
          <w:p w14:paraId="3342A4D3" w14:textId="77777777" w:rsidR="00B20D87" w:rsidRPr="002E5315" w:rsidRDefault="00B20D87" w:rsidP="007C569F">
            <w:pPr>
              <w:rPr>
                <w:rFonts w:cs="Arial"/>
                <w:b w:val="0"/>
                <w:bCs w:val="0"/>
                <w:sz w:val="20"/>
                <w:szCs w:val="20"/>
                <w:lang w:eastAsia="zh-CN"/>
              </w:rPr>
            </w:pPr>
            <w:r w:rsidRPr="002E5315">
              <w:rPr>
                <w:rFonts w:cs="Arial"/>
                <w:sz w:val="20"/>
                <w:szCs w:val="20"/>
                <w:lang w:eastAsia="zh-CN"/>
              </w:rPr>
              <w:t xml:space="preserve">Odgovori na tužbu Povjerenika za informiranje </w:t>
            </w:r>
          </w:p>
        </w:tc>
        <w:tc>
          <w:tcPr>
            <w:tcW w:w="1842" w:type="dxa"/>
            <w:noWrap/>
            <w:hideMark/>
          </w:tcPr>
          <w:p w14:paraId="1EBA0D05"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zh-CN"/>
              </w:rPr>
            </w:pPr>
            <w:r w:rsidRPr="002E5315">
              <w:rPr>
                <w:rFonts w:cs="Arial"/>
                <w:sz w:val="20"/>
                <w:szCs w:val="20"/>
                <w:lang w:eastAsia="zh-CN"/>
              </w:rPr>
              <w:t>185</w:t>
            </w:r>
          </w:p>
        </w:tc>
        <w:tc>
          <w:tcPr>
            <w:tcW w:w="1843" w:type="dxa"/>
            <w:noWrap/>
          </w:tcPr>
          <w:p w14:paraId="62922E8A"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eastAsia="zh-CN"/>
              </w:rPr>
            </w:pPr>
          </w:p>
        </w:tc>
      </w:tr>
    </w:tbl>
    <w:p w14:paraId="14821B7C" w14:textId="77777777" w:rsidR="00B20D87" w:rsidRPr="002E5315" w:rsidRDefault="00B20D87" w:rsidP="00B20D87">
      <w:pPr>
        <w:shd w:val="clear" w:color="auto" w:fill="FFFFFF" w:themeFill="background1"/>
        <w:rPr>
          <w:rFonts w:cs="Arial"/>
          <w:i/>
          <w:sz w:val="20"/>
          <w:szCs w:val="20"/>
        </w:rPr>
      </w:pPr>
      <w:r w:rsidRPr="002E5315">
        <w:rPr>
          <w:rFonts w:cs="Arial"/>
          <w:i/>
          <w:sz w:val="20"/>
          <w:szCs w:val="20"/>
        </w:rPr>
        <w:t>Napomena: upravni sporovi se odnose na pravo na pristup i ponovnu uporabu informacija</w:t>
      </w:r>
    </w:p>
    <w:p w14:paraId="5E651725" w14:textId="77777777" w:rsidR="00B20D87" w:rsidRPr="002E5315" w:rsidRDefault="00B20D87" w:rsidP="00E42F27">
      <w:pPr>
        <w:pStyle w:val="Naslov3"/>
      </w:pPr>
      <w:bookmarkStart w:id="40" w:name="_Toc36308945"/>
      <w:r w:rsidRPr="002E5315">
        <w:t>Podnositelji tužbi</w:t>
      </w:r>
      <w:bookmarkEnd w:id="40"/>
    </w:p>
    <w:p w14:paraId="1C402B03" w14:textId="77777777" w:rsidR="00633D93" w:rsidRDefault="002B1327" w:rsidP="002B1327">
      <w:pPr>
        <w:shd w:val="clear" w:color="auto" w:fill="FFFFFF" w:themeFill="background1"/>
        <w:rPr>
          <w:szCs w:val="23"/>
        </w:rPr>
      </w:pPr>
      <w:r w:rsidRPr="002E5315">
        <w:rPr>
          <w:szCs w:val="23"/>
        </w:rPr>
        <w:t xml:space="preserve">Najveći broj tužbi, i to </w:t>
      </w:r>
      <w:r w:rsidRPr="002E5315">
        <w:rPr>
          <w:bCs/>
          <w:szCs w:val="23"/>
        </w:rPr>
        <w:t>122 (68,93%), podnijeli su korisnici, dok su 55 tužbi (31,07%) podnijela tijela javne vlasti</w:t>
      </w:r>
      <w:r w:rsidRPr="002E5315">
        <w:rPr>
          <w:b/>
          <w:szCs w:val="23"/>
        </w:rPr>
        <w:t xml:space="preserve"> </w:t>
      </w:r>
      <w:r w:rsidRPr="002E5315">
        <w:rPr>
          <w:szCs w:val="23"/>
        </w:rPr>
        <w:t>nezadovoljna odlukama Povjerenika. Podaci o podnositeljima tužbi prikazani su u Tablici 3.10</w:t>
      </w:r>
      <w:r w:rsidR="00633D93">
        <w:rPr>
          <w:szCs w:val="23"/>
        </w:rPr>
        <w:t>.</w:t>
      </w:r>
    </w:p>
    <w:p w14:paraId="0A4E4BD2" w14:textId="69131602" w:rsidR="002B1327" w:rsidRPr="002E5315" w:rsidRDefault="002B1327" w:rsidP="002B1327">
      <w:pPr>
        <w:shd w:val="clear" w:color="auto" w:fill="FFFFFF" w:themeFill="background1"/>
        <w:rPr>
          <w:szCs w:val="23"/>
        </w:rPr>
      </w:pPr>
      <w:r w:rsidRPr="002E5315">
        <w:rPr>
          <w:szCs w:val="23"/>
        </w:rPr>
        <w:t xml:space="preserve">Ipak, valja naglasiti da je </w:t>
      </w:r>
      <w:r w:rsidRPr="002E5315">
        <w:rPr>
          <w:bCs/>
          <w:szCs w:val="23"/>
        </w:rPr>
        <w:t>86 ili 48,59% upravnih sporova korisnika pokrenuto od jednog korisnika</w:t>
      </w:r>
      <w:r w:rsidRPr="002E5315">
        <w:rPr>
          <w:szCs w:val="23"/>
        </w:rPr>
        <w:t xml:space="preserve"> te 6 od strane drugog korisnika ili 3,39%, što čini 92 </w:t>
      </w:r>
      <w:r w:rsidRPr="001C4F24">
        <w:rPr>
          <w:szCs w:val="23"/>
        </w:rPr>
        <w:t>tužbe, pa ispada</w:t>
      </w:r>
      <w:r w:rsidRPr="002E5315">
        <w:rPr>
          <w:szCs w:val="23"/>
        </w:rPr>
        <w:t xml:space="preserve"> da preostalih 30 tužbi otpada na sve ostale korisnike.</w:t>
      </w:r>
    </w:p>
    <w:p w14:paraId="0806E252" w14:textId="77777777" w:rsidR="00633D93" w:rsidRDefault="002B1327" w:rsidP="002B1327">
      <w:pPr>
        <w:shd w:val="clear" w:color="auto" w:fill="FFFFFF" w:themeFill="background1"/>
        <w:rPr>
          <w:szCs w:val="23"/>
        </w:rPr>
      </w:pPr>
      <w:r w:rsidRPr="002E5315">
        <w:rPr>
          <w:szCs w:val="23"/>
        </w:rPr>
        <w:t xml:space="preserve">Također, treba istaknuti da je u </w:t>
      </w:r>
      <w:r w:rsidRPr="002E5315">
        <w:rPr>
          <w:b/>
          <w:szCs w:val="23"/>
        </w:rPr>
        <w:t>122 (68,93%) slučaja bilo riječ o postupcima koji su pokrenuti u predmetima istog korisnika,</w:t>
      </w:r>
      <w:r w:rsidRPr="002E5315">
        <w:rPr>
          <w:b/>
          <w:color w:val="FF0000"/>
          <w:szCs w:val="23"/>
        </w:rPr>
        <w:t xml:space="preserve"> </w:t>
      </w:r>
      <w:r w:rsidRPr="002E5315">
        <w:rPr>
          <w:szCs w:val="23"/>
        </w:rPr>
        <w:t>i to tako da je 86 upravnih sporova</w:t>
      </w:r>
      <w:r w:rsidRPr="002E5315">
        <w:rPr>
          <w:b/>
          <w:szCs w:val="23"/>
        </w:rPr>
        <w:t xml:space="preserve"> </w:t>
      </w:r>
      <w:r w:rsidRPr="002E5315">
        <w:rPr>
          <w:szCs w:val="23"/>
        </w:rPr>
        <w:t>(48,59% od ukupnog broja sporova) pokrenuo taj isti korisnik protiv rješenja Povjerenika ili zbog šutnje Povjerenika, a preostalih 36</w:t>
      </w:r>
      <w:r w:rsidRPr="002E5315">
        <w:rPr>
          <w:b/>
          <w:color w:val="FF0000"/>
          <w:szCs w:val="23"/>
        </w:rPr>
        <w:t xml:space="preserve"> </w:t>
      </w:r>
      <w:r w:rsidRPr="002E5315">
        <w:rPr>
          <w:szCs w:val="23"/>
        </w:rPr>
        <w:t>(20,34%) su pokrenula tijela javne vlasti, osporavajući rješenja Povjerenika. Radi se o postupcima u kojima su upravi spor pokrenuli HBOR, HZZO te Grad Zagreb kao tijela javne vlasti</w:t>
      </w:r>
      <w:r w:rsidR="00633D93">
        <w:rPr>
          <w:szCs w:val="23"/>
        </w:rPr>
        <w:t>.</w:t>
      </w:r>
    </w:p>
    <w:p w14:paraId="2C10D9D0" w14:textId="77777777" w:rsidR="00633D93" w:rsidRDefault="002B1327" w:rsidP="002B1327">
      <w:pPr>
        <w:shd w:val="clear" w:color="auto" w:fill="FFFFFF" w:themeFill="background1"/>
        <w:rPr>
          <w:szCs w:val="23"/>
        </w:rPr>
      </w:pPr>
      <w:r w:rsidRPr="002E5315">
        <w:rPr>
          <w:szCs w:val="23"/>
        </w:rPr>
        <w:t>U cjelini, od ukupno 122 upravna spora koje su pokrenuli korisnici, radi se o 21 korisniku, od kojih je jedan pokrenuo 86 sporova</w:t>
      </w:r>
      <w:r w:rsidR="00633D93">
        <w:rPr>
          <w:szCs w:val="23"/>
        </w:rPr>
        <w:t>.</w:t>
      </w:r>
    </w:p>
    <w:p w14:paraId="330269C4" w14:textId="0B252BE0" w:rsidR="002B1327" w:rsidRPr="002E5315" w:rsidRDefault="002B1327" w:rsidP="002B1327">
      <w:pPr>
        <w:shd w:val="clear" w:color="auto" w:fill="FFFFFF" w:themeFill="background1"/>
        <w:rPr>
          <w:szCs w:val="23"/>
        </w:rPr>
      </w:pPr>
      <w:r w:rsidRPr="002E5315">
        <w:rPr>
          <w:bCs/>
          <w:szCs w:val="23"/>
        </w:rPr>
        <w:lastRenderedPageBreak/>
        <w:t>U 55 upravnih sporova pokrenutih tužbama tijela javne vlasti, radilo se o 25 podnesenih tužbi HBOR-a, 8 HZZO-a, 3 podnesene tužbe Grada Zagreba</w:t>
      </w:r>
      <w:r w:rsidRPr="002E5315">
        <w:rPr>
          <w:b/>
          <w:szCs w:val="23"/>
        </w:rPr>
        <w:t>,</w:t>
      </w:r>
      <w:r w:rsidRPr="002E5315">
        <w:rPr>
          <w:szCs w:val="23"/>
        </w:rPr>
        <w:t xml:space="preserve"> a u preostalih 19 tužbi podnositelji su različita tijela javne vlasti. Slijedi broj pokrenutih sporova po tijelima:</w:t>
      </w:r>
    </w:p>
    <w:p w14:paraId="7EA05220" w14:textId="77777777" w:rsidR="002B1327" w:rsidRPr="002E5315" w:rsidRDefault="002B1327" w:rsidP="000114BF">
      <w:pPr>
        <w:numPr>
          <w:ilvl w:val="0"/>
          <w:numId w:val="11"/>
        </w:numPr>
        <w:shd w:val="clear" w:color="auto" w:fill="FFFFFF" w:themeFill="background1"/>
        <w:spacing w:after="0"/>
        <w:jc w:val="left"/>
        <w:rPr>
          <w:rFonts w:cs="Segoe UI"/>
          <w:szCs w:val="23"/>
        </w:rPr>
      </w:pPr>
      <w:r w:rsidRPr="002E5315">
        <w:rPr>
          <w:rFonts w:cs="Segoe UI"/>
          <w:szCs w:val="23"/>
        </w:rPr>
        <w:t>2 spora državnih tijela (Ustavni sud RH)</w:t>
      </w:r>
    </w:p>
    <w:p w14:paraId="677B923B" w14:textId="77777777" w:rsidR="002B1327" w:rsidRPr="002E5315" w:rsidRDefault="002B1327" w:rsidP="000114BF">
      <w:pPr>
        <w:numPr>
          <w:ilvl w:val="0"/>
          <w:numId w:val="11"/>
        </w:numPr>
        <w:shd w:val="clear" w:color="auto" w:fill="FFFFFF" w:themeFill="background1"/>
        <w:spacing w:after="0"/>
        <w:rPr>
          <w:rFonts w:cs="Segoe UI"/>
          <w:szCs w:val="23"/>
        </w:rPr>
      </w:pPr>
      <w:r w:rsidRPr="002E5315">
        <w:rPr>
          <w:rFonts w:cs="Segoe UI"/>
          <w:szCs w:val="23"/>
        </w:rPr>
        <w:t>4 spora tijela državne uprave (Ministarstvo zdravstva 3, Ministarstvo rada i mirovinskog sustava 1)</w:t>
      </w:r>
    </w:p>
    <w:p w14:paraId="0AA5BDF9" w14:textId="77777777" w:rsidR="002B1327" w:rsidRPr="002E5315" w:rsidRDefault="002B1327" w:rsidP="000114BF">
      <w:pPr>
        <w:numPr>
          <w:ilvl w:val="0"/>
          <w:numId w:val="11"/>
        </w:numPr>
        <w:shd w:val="clear" w:color="auto" w:fill="FFFFFF" w:themeFill="background1"/>
        <w:spacing w:after="0"/>
        <w:rPr>
          <w:rFonts w:cs="Segoe UI"/>
          <w:szCs w:val="23"/>
        </w:rPr>
      </w:pPr>
      <w:r w:rsidRPr="002E5315">
        <w:rPr>
          <w:rFonts w:cs="Segoe UI"/>
          <w:szCs w:val="23"/>
        </w:rPr>
        <w:t>5 sporova jedinica lokalne samouprave (Grad Zagreb 3, Grad Solin 1, Grad Senj 1),</w:t>
      </w:r>
    </w:p>
    <w:p w14:paraId="1375B973" w14:textId="2E0238FF" w:rsidR="002B1327" w:rsidRPr="002E5315" w:rsidRDefault="002B1327" w:rsidP="000114BF">
      <w:pPr>
        <w:numPr>
          <w:ilvl w:val="0"/>
          <w:numId w:val="11"/>
        </w:numPr>
        <w:shd w:val="clear" w:color="auto" w:fill="FFFFFF" w:themeFill="background1"/>
        <w:spacing w:after="0"/>
        <w:rPr>
          <w:rFonts w:cs="Segoe UI"/>
          <w:szCs w:val="23"/>
        </w:rPr>
      </w:pPr>
      <w:r w:rsidRPr="002E5315">
        <w:rPr>
          <w:rFonts w:cs="Segoe UI"/>
          <w:szCs w:val="23"/>
        </w:rPr>
        <w:t>34 spora agencija, zavoda i fondova (HBOR 25, HZZO 8, APPRRR 1)</w:t>
      </w:r>
    </w:p>
    <w:p w14:paraId="265828E7" w14:textId="77777777" w:rsidR="002B1327" w:rsidRPr="002E5315" w:rsidRDefault="002B1327" w:rsidP="000114BF">
      <w:pPr>
        <w:numPr>
          <w:ilvl w:val="0"/>
          <w:numId w:val="11"/>
        </w:numPr>
        <w:shd w:val="clear" w:color="auto" w:fill="FFFFFF" w:themeFill="background1"/>
        <w:spacing w:after="0"/>
        <w:rPr>
          <w:rFonts w:cs="Segoe UI"/>
          <w:szCs w:val="23"/>
        </w:rPr>
      </w:pPr>
      <w:r w:rsidRPr="002E5315">
        <w:rPr>
          <w:rFonts w:cs="Segoe UI"/>
          <w:szCs w:val="23"/>
        </w:rPr>
        <w:t>4 spora ustanova (Centar za socijalnu skrb Zagreb 2, SUVAG 1, Dječji vrtić Cvrčak 1)</w:t>
      </w:r>
    </w:p>
    <w:p w14:paraId="1F25DB45" w14:textId="77777777" w:rsidR="002B1327" w:rsidRPr="002E5315" w:rsidRDefault="002B1327" w:rsidP="000114BF">
      <w:pPr>
        <w:keepNext/>
        <w:numPr>
          <w:ilvl w:val="0"/>
          <w:numId w:val="11"/>
        </w:numPr>
        <w:shd w:val="clear" w:color="auto" w:fill="FFFFFF" w:themeFill="background1"/>
        <w:spacing w:after="0"/>
        <w:ind w:left="714" w:hanging="357"/>
        <w:rPr>
          <w:rFonts w:cs="Segoe UI"/>
          <w:szCs w:val="23"/>
        </w:rPr>
      </w:pPr>
      <w:r w:rsidRPr="002E5315">
        <w:rPr>
          <w:szCs w:val="23"/>
        </w:rPr>
        <w:t>4 spora trgovačkih društava (Jadranski naftovod d.d., Auto cesta Zagreb-Macelj d.o.o., Komunalac Čepin d.o.o., i Urednost Čepin d.o.o.)</w:t>
      </w:r>
    </w:p>
    <w:p w14:paraId="02AB7A78" w14:textId="19C83EA9" w:rsidR="00B20D87" w:rsidRPr="002E5315" w:rsidRDefault="002B1327" w:rsidP="000114BF">
      <w:pPr>
        <w:keepNext/>
        <w:numPr>
          <w:ilvl w:val="0"/>
          <w:numId w:val="11"/>
        </w:numPr>
        <w:shd w:val="clear" w:color="auto" w:fill="FFFFFF" w:themeFill="background1"/>
        <w:ind w:left="714" w:hanging="357"/>
        <w:rPr>
          <w:rFonts w:cs="Segoe UI"/>
          <w:szCs w:val="23"/>
        </w:rPr>
      </w:pPr>
      <w:r w:rsidRPr="002E5315">
        <w:rPr>
          <w:szCs w:val="23"/>
        </w:rPr>
        <w:t xml:space="preserve">2 spora ostalih pravnih osoba (Hrvatska komora zdravstvenih radnika 1, Hrvatska komora medicinskih sestara </w:t>
      </w:r>
      <w:r w:rsidR="00B20D87" w:rsidRPr="002E5315">
        <w:rPr>
          <w:szCs w:val="23"/>
        </w:rPr>
        <w:t>1)</w:t>
      </w:r>
    </w:p>
    <w:p w14:paraId="0785F3A9" w14:textId="073625B8" w:rsidR="00B20D87" w:rsidRPr="002E5315" w:rsidRDefault="00B20D87" w:rsidP="00B20D87">
      <w:pPr>
        <w:keepNext/>
        <w:shd w:val="clear" w:color="auto" w:fill="FFFFFF" w:themeFill="background1"/>
        <w:spacing w:before="240"/>
        <w:rPr>
          <w:rFonts w:cs="Segoe UI"/>
          <w:sz w:val="20"/>
          <w:szCs w:val="20"/>
        </w:rPr>
      </w:pPr>
      <w:r w:rsidRPr="002E5315">
        <w:rPr>
          <w:rFonts w:cs="Segoe UI"/>
          <w:sz w:val="20"/>
          <w:szCs w:val="20"/>
        </w:rPr>
        <w:t xml:space="preserve">Tablica </w:t>
      </w:r>
      <w:r w:rsidR="00E42F27" w:rsidRPr="002E5315">
        <w:rPr>
          <w:rFonts w:cs="Segoe UI"/>
          <w:sz w:val="20"/>
          <w:szCs w:val="20"/>
        </w:rPr>
        <w:t>3</w:t>
      </w:r>
      <w:r w:rsidRPr="002E5315">
        <w:rPr>
          <w:rFonts w:cs="Segoe UI"/>
          <w:sz w:val="20"/>
          <w:szCs w:val="20"/>
        </w:rPr>
        <w:t>.1</w:t>
      </w:r>
      <w:r w:rsidR="00E42F27" w:rsidRPr="002E5315">
        <w:rPr>
          <w:rFonts w:cs="Segoe UI"/>
          <w:sz w:val="20"/>
          <w:szCs w:val="20"/>
        </w:rPr>
        <w:t>0</w:t>
      </w:r>
      <w:r w:rsidRPr="002E5315">
        <w:rPr>
          <w:rFonts w:cs="Segoe UI"/>
          <w:sz w:val="20"/>
          <w:szCs w:val="20"/>
        </w:rPr>
        <w:t xml:space="preserve">. Upravni sporovi u 2019. prema tužiteljima </w:t>
      </w:r>
    </w:p>
    <w:tbl>
      <w:tblPr>
        <w:tblStyle w:val="LightShading-Accent11"/>
        <w:tblW w:w="9073" w:type="dxa"/>
        <w:jc w:val="center"/>
        <w:tblLayout w:type="fixed"/>
        <w:tblLook w:val="04A0" w:firstRow="1" w:lastRow="0" w:firstColumn="1" w:lastColumn="0" w:noHBand="0" w:noVBand="1"/>
      </w:tblPr>
      <w:tblGrid>
        <w:gridCol w:w="4962"/>
        <w:gridCol w:w="2055"/>
        <w:gridCol w:w="2056"/>
      </w:tblGrid>
      <w:tr w:rsidR="00B20D87" w:rsidRPr="002E5315" w14:paraId="1B8D58F2" w14:textId="77777777" w:rsidTr="007C569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38E1585D" w14:textId="77777777" w:rsidR="00B20D87" w:rsidRPr="002E5315" w:rsidRDefault="00B20D87" w:rsidP="007C569F">
            <w:pPr>
              <w:rPr>
                <w:rFonts w:cs="Arial"/>
                <w:b w:val="0"/>
                <w:bCs w:val="0"/>
                <w:color w:val="auto"/>
                <w:sz w:val="20"/>
                <w:szCs w:val="20"/>
                <w:lang w:eastAsia="zh-CN"/>
              </w:rPr>
            </w:pPr>
          </w:p>
        </w:tc>
        <w:tc>
          <w:tcPr>
            <w:tcW w:w="4111" w:type="dxa"/>
            <w:gridSpan w:val="2"/>
            <w:noWrap/>
          </w:tcPr>
          <w:p w14:paraId="3807BA93" w14:textId="77777777" w:rsidR="00B20D87" w:rsidRPr="002E5315" w:rsidRDefault="00B20D87" w:rsidP="007C569F">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20"/>
                <w:szCs w:val="20"/>
                <w:lang w:eastAsia="zh-CN"/>
              </w:rPr>
            </w:pPr>
            <w:r w:rsidRPr="002E5315">
              <w:rPr>
                <w:rFonts w:cs="Arial"/>
                <w:color w:val="auto"/>
                <w:sz w:val="20"/>
                <w:szCs w:val="20"/>
                <w:lang w:eastAsia="zh-CN"/>
              </w:rPr>
              <w:t>Podnesene tužbe</w:t>
            </w:r>
          </w:p>
        </w:tc>
      </w:tr>
      <w:tr w:rsidR="00B20D87" w:rsidRPr="002E5315" w14:paraId="48660BCC"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tcPr>
          <w:p w14:paraId="1899F097" w14:textId="77777777" w:rsidR="00B20D87" w:rsidRPr="002E5315" w:rsidRDefault="00B20D87" w:rsidP="007C569F">
            <w:pPr>
              <w:rPr>
                <w:rFonts w:cs="Arial"/>
                <w:b w:val="0"/>
                <w:bCs w:val="0"/>
                <w:color w:val="auto"/>
                <w:sz w:val="20"/>
                <w:szCs w:val="20"/>
                <w:lang w:eastAsia="zh-CN"/>
              </w:rPr>
            </w:pPr>
            <w:r w:rsidRPr="002E5315">
              <w:rPr>
                <w:rFonts w:cs="Arial"/>
                <w:color w:val="auto"/>
                <w:sz w:val="20"/>
                <w:szCs w:val="20"/>
                <w:lang w:eastAsia="zh-CN"/>
              </w:rPr>
              <w:t>Prema tužiteljima</w:t>
            </w:r>
          </w:p>
        </w:tc>
        <w:tc>
          <w:tcPr>
            <w:tcW w:w="2055" w:type="dxa"/>
            <w:shd w:val="clear" w:color="auto" w:fill="D9E2F3" w:themeFill="accent1" w:themeFillTint="33"/>
            <w:noWrap/>
          </w:tcPr>
          <w:p w14:paraId="64AF9EEE"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E5315">
              <w:rPr>
                <w:b/>
                <w:color w:val="auto"/>
                <w:sz w:val="20"/>
                <w:szCs w:val="20"/>
              </w:rPr>
              <w:t>177</w:t>
            </w:r>
          </w:p>
        </w:tc>
        <w:tc>
          <w:tcPr>
            <w:tcW w:w="2056" w:type="dxa"/>
            <w:shd w:val="clear" w:color="auto" w:fill="D9E2F3" w:themeFill="accent1" w:themeFillTint="33"/>
            <w:noWrap/>
          </w:tcPr>
          <w:p w14:paraId="4070F4A4"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E5315">
              <w:rPr>
                <w:b/>
                <w:color w:val="auto"/>
                <w:sz w:val="20"/>
                <w:szCs w:val="20"/>
              </w:rPr>
              <w:t>100,00%</w:t>
            </w:r>
          </w:p>
        </w:tc>
      </w:tr>
      <w:tr w:rsidR="00B20D87" w:rsidRPr="002E5315" w14:paraId="466B7B61"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0DDF713F" w14:textId="77777777" w:rsidR="00B20D87" w:rsidRPr="002E5315" w:rsidRDefault="00B20D87" w:rsidP="007C569F">
            <w:pPr>
              <w:rPr>
                <w:rFonts w:cs="Arial"/>
                <w:b w:val="0"/>
                <w:bCs w:val="0"/>
                <w:i/>
                <w:color w:val="auto"/>
                <w:sz w:val="20"/>
                <w:szCs w:val="20"/>
                <w:lang w:eastAsia="zh-CN"/>
              </w:rPr>
            </w:pPr>
            <w:r w:rsidRPr="002E5315">
              <w:rPr>
                <w:rFonts w:cs="Arial"/>
                <w:i/>
                <w:color w:val="auto"/>
                <w:sz w:val="20"/>
                <w:szCs w:val="20"/>
                <w:lang w:eastAsia="zh-CN"/>
              </w:rPr>
              <w:tab/>
            </w:r>
            <w:r w:rsidRPr="002E5315">
              <w:rPr>
                <w:rFonts w:cs="Arial"/>
                <w:b w:val="0"/>
                <w:i/>
                <w:color w:val="auto"/>
                <w:sz w:val="20"/>
                <w:szCs w:val="20"/>
                <w:lang w:eastAsia="zh-CN"/>
              </w:rPr>
              <w:t>korisnici</w:t>
            </w:r>
          </w:p>
        </w:tc>
        <w:tc>
          <w:tcPr>
            <w:tcW w:w="2055" w:type="dxa"/>
            <w:noWrap/>
          </w:tcPr>
          <w:p w14:paraId="50083316"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122</w:t>
            </w:r>
          </w:p>
        </w:tc>
        <w:tc>
          <w:tcPr>
            <w:tcW w:w="2056" w:type="dxa"/>
            <w:noWrap/>
          </w:tcPr>
          <w:p w14:paraId="659CAB7B"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68,93%</w:t>
            </w:r>
          </w:p>
        </w:tc>
      </w:tr>
      <w:tr w:rsidR="00B20D87" w:rsidRPr="002E5315" w14:paraId="74E9ADF4"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tcPr>
          <w:p w14:paraId="24690F15" w14:textId="77777777" w:rsidR="00B20D87" w:rsidRPr="002E5315" w:rsidRDefault="00B20D87" w:rsidP="007C569F">
            <w:pPr>
              <w:rPr>
                <w:rFonts w:cs="Arial"/>
                <w:b w:val="0"/>
                <w:bCs w:val="0"/>
                <w:i/>
                <w:color w:val="auto"/>
                <w:sz w:val="20"/>
                <w:szCs w:val="20"/>
                <w:lang w:eastAsia="zh-CN"/>
              </w:rPr>
            </w:pPr>
            <w:r w:rsidRPr="002E5315">
              <w:rPr>
                <w:rFonts w:cs="Arial"/>
                <w:b w:val="0"/>
                <w:i/>
                <w:color w:val="auto"/>
                <w:sz w:val="20"/>
                <w:szCs w:val="20"/>
                <w:lang w:eastAsia="zh-CN"/>
              </w:rPr>
              <w:tab/>
              <w:t>tijela javne vlasti</w:t>
            </w:r>
          </w:p>
        </w:tc>
        <w:tc>
          <w:tcPr>
            <w:tcW w:w="2055" w:type="dxa"/>
            <w:shd w:val="clear" w:color="auto" w:fill="D9E2F3" w:themeFill="accent1" w:themeFillTint="33"/>
            <w:noWrap/>
          </w:tcPr>
          <w:p w14:paraId="6D74601C"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55</w:t>
            </w:r>
          </w:p>
        </w:tc>
        <w:tc>
          <w:tcPr>
            <w:tcW w:w="2056" w:type="dxa"/>
            <w:shd w:val="clear" w:color="auto" w:fill="D9E2F3" w:themeFill="accent1" w:themeFillTint="33"/>
            <w:noWrap/>
          </w:tcPr>
          <w:p w14:paraId="2497F6F4"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31,07%</w:t>
            </w:r>
          </w:p>
        </w:tc>
      </w:tr>
      <w:tr w:rsidR="00B20D87" w:rsidRPr="002E5315" w14:paraId="4D50A77E" w14:textId="77777777" w:rsidTr="007C569F">
        <w:trPr>
          <w:trHeight w:val="296"/>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43C35623" w14:textId="77777777" w:rsidR="00B20D87" w:rsidRPr="002E5315" w:rsidRDefault="00B20D87" w:rsidP="007C569F">
            <w:pPr>
              <w:rPr>
                <w:rFonts w:cs="Arial"/>
                <w:b w:val="0"/>
                <w:bCs w:val="0"/>
                <w:color w:val="auto"/>
                <w:sz w:val="20"/>
                <w:szCs w:val="20"/>
                <w:lang w:eastAsia="zh-CN"/>
              </w:rPr>
            </w:pPr>
            <w:r w:rsidRPr="002E5315">
              <w:rPr>
                <w:rFonts w:cs="Arial"/>
                <w:color w:val="auto"/>
                <w:sz w:val="20"/>
                <w:szCs w:val="20"/>
                <w:lang w:eastAsia="zh-CN"/>
              </w:rPr>
              <w:t>Tužitelji korisnici</w:t>
            </w:r>
          </w:p>
        </w:tc>
        <w:tc>
          <w:tcPr>
            <w:tcW w:w="2055" w:type="dxa"/>
            <w:noWrap/>
          </w:tcPr>
          <w:p w14:paraId="37CC5727"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122</w:t>
            </w:r>
          </w:p>
        </w:tc>
        <w:tc>
          <w:tcPr>
            <w:tcW w:w="2056" w:type="dxa"/>
            <w:noWrap/>
          </w:tcPr>
          <w:p w14:paraId="35385639"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100,00%</w:t>
            </w:r>
          </w:p>
        </w:tc>
      </w:tr>
      <w:tr w:rsidR="00B20D87" w:rsidRPr="002E5315" w14:paraId="1D86DD5A" w14:textId="77777777" w:rsidTr="002178F4">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hideMark/>
          </w:tcPr>
          <w:p w14:paraId="2A365DFF" w14:textId="77777777" w:rsidR="00B20D87" w:rsidRPr="002E5315" w:rsidRDefault="00B20D87" w:rsidP="007C569F">
            <w:pPr>
              <w:rPr>
                <w:rFonts w:cs="Arial"/>
                <w:b w:val="0"/>
                <w:bCs w:val="0"/>
                <w:i/>
                <w:color w:val="auto"/>
                <w:sz w:val="20"/>
                <w:szCs w:val="20"/>
                <w:lang w:eastAsia="zh-CN"/>
              </w:rPr>
            </w:pPr>
            <w:r w:rsidRPr="002E5315">
              <w:rPr>
                <w:rFonts w:cs="Arial"/>
                <w:b w:val="0"/>
                <w:i/>
                <w:color w:val="auto"/>
                <w:sz w:val="20"/>
                <w:szCs w:val="20"/>
                <w:lang w:eastAsia="zh-CN"/>
              </w:rPr>
              <w:tab/>
              <w:t>fizičke osobe</w:t>
            </w:r>
          </w:p>
        </w:tc>
        <w:tc>
          <w:tcPr>
            <w:tcW w:w="2055" w:type="dxa"/>
            <w:shd w:val="clear" w:color="auto" w:fill="D9E2F3" w:themeFill="accent1" w:themeFillTint="33"/>
            <w:noWrap/>
          </w:tcPr>
          <w:p w14:paraId="02C0D595"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119</w:t>
            </w:r>
          </w:p>
        </w:tc>
        <w:tc>
          <w:tcPr>
            <w:tcW w:w="2056" w:type="dxa"/>
            <w:shd w:val="clear" w:color="auto" w:fill="D9E2F3" w:themeFill="accent1" w:themeFillTint="33"/>
            <w:noWrap/>
          </w:tcPr>
          <w:p w14:paraId="3ACE75B8"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97,54%</w:t>
            </w:r>
          </w:p>
        </w:tc>
      </w:tr>
      <w:tr w:rsidR="00B20D87" w:rsidRPr="002E5315" w14:paraId="4A0A8B74"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9E69771" w14:textId="77777777" w:rsidR="00B20D87" w:rsidRPr="002E5315" w:rsidRDefault="00B20D87" w:rsidP="007C569F">
            <w:pPr>
              <w:rPr>
                <w:rFonts w:cs="Arial"/>
                <w:b w:val="0"/>
                <w:bCs w:val="0"/>
                <w:i/>
                <w:color w:val="auto"/>
                <w:sz w:val="20"/>
                <w:szCs w:val="20"/>
                <w:lang w:eastAsia="zh-CN"/>
              </w:rPr>
            </w:pPr>
            <w:r w:rsidRPr="002E5315">
              <w:rPr>
                <w:rFonts w:cs="Arial"/>
                <w:b w:val="0"/>
                <w:i/>
                <w:color w:val="auto"/>
                <w:sz w:val="20"/>
                <w:szCs w:val="20"/>
                <w:lang w:eastAsia="zh-CN"/>
              </w:rPr>
              <w:tab/>
              <w:t>udruge</w:t>
            </w:r>
          </w:p>
        </w:tc>
        <w:tc>
          <w:tcPr>
            <w:tcW w:w="2055" w:type="dxa"/>
            <w:noWrap/>
          </w:tcPr>
          <w:p w14:paraId="7E4CAA68"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w:t>
            </w:r>
          </w:p>
        </w:tc>
        <w:tc>
          <w:tcPr>
            <w:tcW w:w="2056" w:type="dxa"/>
            <w:noWrap/>
          </w:tcPr>
          <w:p w14:paraId="5E32483F"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1,64%</w:t>
            </w:r>
          </w:p>
        </w:tc>
      </w:tr>
      <w:tr w:rsidR="00B20D87" w:rsidRPr="002E5315" w14:paraId="769A6E51"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hideMark/>
          </w:tcPr>
          <w:p w14:paraId="1194B091" w14:textId="77777777" w:rsidR="00B20D87" w:rsidRPr="002E5315" w:rsidRDefault="00B20D87" w:rsidP="007C569F">
            <w:pPr>
              <w:rPr>
                <w:rFonts w:cs="Arial"/>
                <w:b w:val="0"/>
                <w:bCs w:val="0"/>
                <w:i/>
                <w:color w:val="auto"/>
                <w:sz w:val="20"/>
                <w:szCs w:val="20"/>
                <w:lang w:eastAsia="zh-CN"/>
              </w:rPr>
            </w:pPr>
            <w:r w:rsidRPr="002E5315">
              <w:rPr>
                <w:rFonts w:cs="Arial"/>
                <w:b w:val="0"/>
                <w:i/>
                <w:color w:val="auto"/>
                <w:sz w:val="20"/>
                <w:szCs w:val="20"/>
                <w:lang w:eastAsia="zh-CN"/>
              </w:rPr>
              <w:tab/>
              <w:t>trgovačka društva</w:t>
            </w:r>
          </w:p>
        </w:tc>
        <w:tc>
          <w:tcPr>
            <w:tcW w:w="2055" w:type="dxa"/>
            <w:shd w:val="clear" w:color="auto" w:fill="D9E2F3" w:themeFill="accent1" w:themeFillTint="33"/>
            <w:noWrap/>
          </w:tcPr>
          <w:p w14:paraId="104672D6"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w:t>
            </w:r>
          </w:p>
        </w:tc>
        <w:tc>
          <w:tcPr>
            <w:tcW w:w="2056" w:type="dxa"/>
            <w:shd w:val="clear" w:color="auto" w:fill="D9E2F3" w:themeFill="accent1" w:themeFillTint="33"/>
            <w:noWrap/>
          </w:tcPr>
          <w:p w14:paraId="79B02C25"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0,82%</w:t>
            </w:r>
          </w:p>
        </w:tc>
      </w:tr>
      <w:tr w:rsidR="00B20D87" w:rsidRPr="002E5315" w14:paraId="1166CEC8"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D870267" w14:textId="77777777" w:rsidR="00B20D87" w:rsidRPr="002E5315" w:rsidRDefault="00B20D87" w:rsidP="007C569F">
            <w:pPr>
              <w:rPr>
                <w:rFonts w:cs="Arial"/>
                <w:b w:val="0"/>
                <w:bCs w:val="0"/>
                <w:color w:val="auto"/>
                <w:sz w:val="20"/>
                <w:szCs w:val="20"/>
                <w:lang w:eastAsia="zh-CN"/>
              </w:rPr>
            </w:pPr>
            <w:r w:rsidRPr="002E5315">
              <w:rPr>
                <w:rFonts w:cs="Arial"/>
                <w:color w:val="auto"/>
                <w:sz w:val="20"/>
                <w:szCs w:val="20"/>
                <w:lang w:eastAsia="zh-CN"/>
              </w:rPr>
              <w:t xml:space="preserve">Tužitelji tijela javne vlasti </w:t>
            </w:r>
          </w:p>
        </w:tc>
        <w:tc>
          <w:tcPr>
            <w:tcW w:w="2055" w:type="dxa"/>
            <w:noWrap/>
          </w:tcPr>
          <w:p w14:paraId="5F73EF53"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55</w:t>
            </w:r>
          </w:p>
        </w:tc>
        <w:tc>
          <w:tcPr>
            <w:tcW w:w="2056" w:type="dxa"/>
            <w:noWrap/>
          </w:tcPr>
          <w:p w14:paraId="7DB12F0C"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100,00%</w:t>
            </w:r>
          </w:p>
        </w:tc>
      </w:tr>
      <w:tr w:rsidR="00B20D87" w:rsidRPr="002E5315" w14:paraId="29D3A0CF"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tcPr>
          <w:p w14:paraId="30178608"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državna tijela</w:t>
            </w:r>
          </w:p>
        </w:tc>
        <w:tc>
          <w:tcPr>
            <w:tcW w:w="2055" w:type="dxa"/>
            <w:shd w:val="clear" w:color="auto" w:fill="D9E2F3" w:themeFill="accent1" w:themeFillTint="33"/>
            <w:noWrap/>
          </w:tcPr>
          <w:p w14:paraId="117D9D4D"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w:t>
            </w:r>
          </w:p>
        </w:tc>
        <w:tc>
          <w:tcPr>
            <w:tcW w:w="2056" w:type="dxa"/>
            <w:shd w:val="clear" w:color="auto" w:fill="D9E2F3" w:themeFill="accent1" w:themeFillTint="33"/>
            <w:noWrap/>
          </w:tcPr>
          <w:p w14:paraId="1B0855E3"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3,64%</w:t>
            </w:r>
          </w:p>
        </w:tc>
      </w:tr>
      <w:tr w:rsidR="00B20D87" w:rsidRPr="002E5315" w14:paraId="4F357845"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6CCF9A5"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tijela državne uprave</w:t>
            </w:r>
          </w:p>
        </w:tc>
        <w:tc>
          <w:tcPr>
            <w:tcW w:w="2055" w:type="dxa"/>
            <w:noWrap/>
          </w:tcPr>
          <w:p w14:paraId="7091FD9D"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4</w:t>
            </w:r>
          </w:p>
        </w:tc>
        <w:tc>
          <w:tcPr>
            <w:tcW w:w="2056" w:type="dxa"/>
            <w:noWrap/>
          </w:tcPr>
          <w:p w14:paraId="2BBB6599"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7,27%</w:t>
            </w:r>
          </w:p>
        </w:tc>
      </w:tr>
      <w:tr w:rsidR="00B20D87" w:rsidRPr="002E5315" w14:paraId="24AD6422"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hideMark/>
          </w:tcPr>
          <w:p w14:paraId="5153D92A"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agencije i druge pravne osobe s javnim ovlastima</w:t>
            </w:r>
          </w:p>
        </w:tc>
        <w:tc>
          <w:tcPr>
            <w:tcW w:w="2055" w:type="dxa"/>
            <w:shd w:val="clear" w:color="auto" w:fill="D9E2F3" w:themeFill="accent1" w:themeFillTint="33"/>
            <w:noWrap/>
          </w:tcPr>
          <w:p w14:paraId="18BF01E4"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34</w:t>
            </w:r>
          </w:p>
        </w:tc>
        <w:tc>
          <w:tcPr>
            <w:tcW w:w="2056" w:type="dxa"/>
            <w:shd w:val="clear" w:color="auto" w:fill="D9E2F3" w:themeFill="accent1" w:themeFillTint="33"/>
            <w:noWrap/>
          </w:tcPr>
          <w:p w14:paraId="72B8554D"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61,82%</w:t>
            </w:r>
          </w:p>
        </w:tc>
      </w:tr>
      <w:tr w:rsidR="00B20D87" w:rsidRPr="002E5315" w14:paraId="206524F5"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2AE73B41"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jlp(r)s</w:t>
            </w:r>
          </w:p>
        </w:tc>
        <w:tc>
          <w:tcPr>
            <w:tcW w:w="2055" w:type="dxa"/>
            <w:noWrap/>
          </w:tcPr>
          <w:p w14:paraId="03D8EA5C"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5</w:t>
            </w:r>
          </w:p>
        </w:tc>
        <w:tc>
          <w:tcPr>
            <w:tcW w:w="2056" w:type="dxa"/>
            <w:noWrap/>
          </w:tcPr>
          <w:p w14:paraId="33A37250"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9,09%</w:t>
            </w:r>
          </w:p>
        </w:tc>
      </w:tr>
      <w:tr w:rsidR="00B20D87" w:rsidRPr="002E5315" w14:paraId="60216FA7"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tcPr>
          <w:p w14:paraId="63477FD4"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trgovačko društvo</w:t>
            </w:r>
          </w:p>
        </w:tc>
        <w:tc>
          <w:tcPr>
            <w:tcW w:w="2055" w:type="dxa"/>
            <w:shd w:val="clear" w:color="auto" w:fill="D9E2F3" w:themeFill="accent1" w:themeFillTint="33"/>
            <w:noWrap/>
          </w:tcPr>
          <w:p w14:paraId="48FFC407"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4</w:t>
            </w:r>
          </w:p>
        </w:tc>
        <w:tc>
          <w:tcPr>
            <w:tcW w:w="2056" w:type="dxa"/>
            <w:shd w:val="clear" w:color="auto" w:fill="D9E2F3" w:themeFill="accent1" w:themeFillTint="33"/>
            <w:noWrap/>
          </w:tcPr>
          <w:p w14:paraId="17101C7C"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7,27%</w:t>
            </w:r>
          </w:p>
        </w:tc>
      </w:tr>
      <w:tr w:rsidR="00B20D87" w:rsidRPr="002E5315" w14:paraId="466FAB1D"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tcPr>
          <w:p w14:paraId="7DC532C1"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ustanove</w:t>
            </w:r>
          </w:p>
        </w:tc>
        <w:tc>
          <w:tcPr>
            <w:tcW w:w="2055" w:type="dxa"/>
            <w:noWrap/>
          </w:tcPr>
          <w:p w14:paraId="11391532"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4</w:t>
            </w:r>
          </w:p>
        </w:tc>
        <w:tc>
          <w:tcPr>
            <w:tcW w:w="2056" w:type="dxa"/>
            <w:noWrap/>
          </w:tcPr>
          <w:p w14:paraId="55EED509"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7,27%</w:t>
            </w:r>
          </w:p>
        </w:tc>
      </w:tr>
      <w:tr w:rsidR="00B20D87" w:rsidRPr="002E5315" w14:paraId="2A65C3D7"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tcPr>
          <w:p w14:paraId="45044024"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druge pravne osobe</w:t>
            </w:r>
          </w:p>
        </w:tc>
        <w:tc>
          <w:tcPr>
            <w:tcW w:w="2055" w:type="dxa"/>
            <w:shd w:val="clear" w:color="auto" w:fill="D9E2F3" w:themeFill="accent1" w:themeFillTint="33"/>
            <w:noWrap/>
          </w:tcPr>
          <w:p w14:paraId="4F1D7F4B"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w:t>
            </w:r>
          </w:p>
        </w:tc>
        <w:tc>
          <w:tcPr>
            <w:tcW w:w="2056" w:type="dxa"/>
            <w:shd w:val="clear" w:color="auto" w:fill="D9E2F3" w:themeFill="accent1" w:themeFillTint="33"/>
            <w:noWrap/>
          </w:tcPr>
          <w:p w14:paraId="39A92E66"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3,64%</w:t>
            </w:r>
          </w:p>
        </w:tc>
      </w:tr>
    </w:tbl>
    <w:p w14:paraId="117DAE67" w14:textId="1746AACC" w:rsidR="00B20D87" w:rsidRPr="002E5315" w:rsidRDefault="00B20D87" w:rsidP="00E42F27">
      <w:pPr>
        <w:pStyle w:val="Naslov3"/>
        <w:spacing w:before="480"/>
      </w:pPr>
      <w:bookmarkStart w:id="41" w:name="_Toc36308946"/>
      <w:r w:rsidRPr="002E5315">
        <w:t>Sudske odluke po tužbama</w:t>
      </w:r>
      <w:bookmarkEnd w:id="41"/>
      <w:r w:rsidRPr="002E5315">
        <w:t xml:space="preserve"> </w:t>
      </w:r>
    </w:p>
    <w:p w14:paraId="6A6F25D0" w14:textId="1BCB398D" w:rsidR="00EE1A1F" w:rsidRPr="002E5315" w:rsidRDefault="00EE1A1F" w:rsidP="00EE1A1F">
      <w:pPr>
        <w:pStyle w:val="Bezproreda"/>
        <w:keepNext/>
        <w:spacing w:before="240" w:after="120" w:line="276" w:lineRule="auto"/>
        <w:jc w:val="both"/>
        <w:rPr>
          <w:rFonts w:ascii="Gill Sans MT" w:hAnsi="Gill Sans MT" w:cs="Segoe UI"/>
          <w:sz w:val="23"/>
          <w:szCs w:val="23"/>
          <w:lang w:eastAsia="hr-HR"/>
        </w:rPr>
      </w:pPr>
      <w:r w:rsidRPr="002E5315">
        <w:rPr>
          <w:rFonts w:ascii="Gill Sans MT" w:hAnsi="Gill Sans MT" w:cstheme="minorHAnsi"/>
          <w:sz w:val="23"/>
          <w:szCs w:val="23"/>
        </w:rPr>
        <w:t xml:space="preserve">Tijekom 2019. Povjerenik je zaprimio ukupno </w:t>
      </w:r>
      <w:r w:rsidRPr="002E5315">
        <w:rPr>
          <w:rFonts w:ascii="Gill Sans MT" w:hAnsi="Gill Sans MT" w:cstheme="minorHAnsi"/>
          <w:bCs/>
          <w:sz w:val="23"/>
          <w:szCs w:val="23"/>
        </w:rPr>
        <w:t xml:space="preserve">175 odluka Visokog upravnog suda RH </w:t>
      </w:r>
      <w:r w:rsidRPr="002E5315">
        <w:rPr>
          <w:rFonts w:ascii="Gill Sans MT" w:hAnsi="Gill Sans MT" w:cstheme="minorHAnsi"/>
          <w:sz w:val="23"/>
          <w:szCs w:val="23"/>
        </w:rPr>
        <w:t xml:space="preserve">(presude i rješenja) u predmetima prava na pristup informacijama po pokrenutim sporovima zbog šutnje uprave Povjerenika te protiv rješenja Povjerenika. Od 175 dostavljenih odluka u predmetima prava na pristup informacijama, </w:t>
      </w:r>
      <w:r w:rsidRPr="002E5315">
        <w:rPr>
          <w:rFonts w:ascii="Gill Sans MT" w:hAnsi="Gill Sans MT" w:cstheme="minorHAnsi"/>
          <w:bCs/>
          <w:sz w:val="23"/>
          <w:szCs w:val="23"/>
        </w:rPr>
        <w:t xml:space="preserve">u 105 (60%) slučajeva spor je pokrenut protiv rješenja </w:t>
      </w:r>
      <w:r w:rsidRPr="002E5315">
        <w:rPr>
          <w:rFonts w:ascii="Gill Sans MT" w:hAnsi="Gill Sans MT" w:cstheme="minorHAnsi"/>
          <w:bCs/>
          <w:sz w:val="23"/>
          <w:szCs w:val="23"/>
        </w:rPr>
        <w:lastRenderedPageBreak/>
        <w:t>Povjerenika,</w:t>
      </w:r>
      <w:r w:rsidRPr="002E5315">
        <w:rPr>
          <w:rFonts w:ascii="Gill Sans MT" w:hAnsi="Gill Sans MT" w:cstheme="minorHAnsi"/>
          <w:sz w:val="23"/>
          <w:szCs w:val="23"/>
        </w:rPr>
        <w:t xml:space="preserve"> pri čemu je </w:t>
      </w:r>
      <w:r w:rsidRPr="002E5315">
        <w:rPr>
          <w:rFonts w:ascii="Gill Sans MT" w:hAnsi="Gill Sans MT" w:cstheme="minorHAnsi"/>
          <w:b/>
          <w:sz w:val="23"/>
          <w:szCs w:val="23"/>
        </w:rPr>
        <w:t>u</w:t>
      </w:r>
      <w:r w:rsidRPr="002E5315">
        <w:rPr>
          <w:rFonts w:ascii="Gill Sans MT" w:hAnsi="Gill Sans MT" w:cstheme="minorHAnsi"/>
          <w:b/>
          <w:color w:val="FF0000"/>
          <w:sz w:val="23"/>
          <w:szCs w:val="23"/>
        </w:rPr>
        <w:t xml:space="preserve"> </w:t>
      </w:r>
      <w:r w:rsidRPr="002E5315">
        <w:rPr>
          <w:rFonts w:ascii="Gill Sans MT" w:hAnsi="Gill Sans MT" w:cstheme="minorHAnsi"/>
          <w:b/>
          <w:sz w:val="23"/>
          <w:szCs w:val="23"/>
        </w:rPr>
        <w:t>86 slučajeva (81,91%) Visoki upravni sud RH potvrdio odluku Povjerenik</w:t>
      </w:r>
      <w:r w:rsidRPr="002E5315">
        <w:rPr>
          <w:rFonts w:ascii="Gill Sans MT" w:hAnsi="Gill Sans MT" w:cstheme="minorHAnsi"/>
          <w:sz w:val="23"/>
          <w:szCs w:val="23"/>
        </w:rPr>
        <w:t>a, od kojih je u 80 (76,2%)</w:t>
      </w:r>
      <w:r w:rsidRPr="002E5315">
        <w:rPr>
          <w:rFonts w:ascii="Gill Sans MT" w:hAnsi="Gill Sans MT" w:cstheme="minorHAnsi"/>
          <w:color w:val="FF0000"/>
          <w:sz w:val="23"/>
          <w:szCs w:val="23"/>
        </w:rPr>
        <w:t xml:space="preserve"> </w:t>
      </w:r>
      <w:r w:rsidRPr="002E5315">
        <w:rPr>
          <w:rFonts w:ascii="Gill Sans MT" w:hAnsi="Gill Sans MT" w:cstheme="minorHAnsi"/>
          <w:sz w:val="23"/>
          <w:szCs w:val="23"/>
        </w:rPr>
        <w:t>slučajeva potvrdio odluke u potpunosti, a u 6 (5,71%) poništio točku izreke rješenja Povjerenika u dijelu koji se odnosi na nalog prvostupanjskom tijelu da postupi u određenom roku. Navedeni podaci prikazani su u T</w:t>
      </w:r>
      <w:r w:rsidRPr="002E5315">
        <w:rPr>
          <w:rFonts w:ascii="Gill Sans MT" w:hAnsi="Gill Sans MT" w:cs="Segoe UI"/>
          <w:sz w:val="23"/>
          <w:szCs w:val="23"/>
          <w:lang w:eastAsia="hr-HR"/>
        </w:rPr>
        <w:t>ablici 3.11.</w:t>
      </w:r>
    </w:p>
    <w:p w14:paraId="7019F7B0" w14:textId="77777777" w:rsidR="00633D93" w:rsidRDefault="00EE1A1F" w:rsidP="00EE1A1F">
      <w:pPr>
        <w:shd w:val="clear" w:color="auto" w:fill="FFFFFF" w:themeFill="background1"/>
        <w:rPr>
          <w:rFonts w:cstheme="minorHAnsi"/>
          <w:szCs w:val="23"/>
        </w:rPr>
      </w:pPr>
      <w:r w:rsidRPr="002E5315">
        <w:rPr>
          <w:rFonts w:cstheme="minorHAnsi"/>
          <w:szCs w:val="23"/>
        </w:rPr>
        <w:t>Usporedbom 2013.-2019. rješenja Povjerenika i presuda Visokog upravnog suda RH, u dijelu koji se odnosi na određivanje roka u kojem je tijelo javne vlasti obvezno postupiti po rješenju Povjerenika, uočeno je da je Visoki upravni sud RH nakon dugogodišnjeg pravnog stajališta vezanog uz određen rok od 8 dana od dana dostave rješenja za postupanje po rješenju, promijenio pravno stajalište te je, slijedom navedenih stavova izraženih u presudama Visokog upravnog suda RH, Povjerenik promijenio praksu te nalaže tijelima javne vlasti rok od 8 dana od pravomoćnosti rješenja Povjerenika za postupanje po rješenju, što predstavlja 30 dana više u odnosu na prethodnu praksu</w:t>
      </w:r>
      <w:r w:rsidR="00633D93">
        <w:rPr>
          <w:rFonts w:cstheme="minorHAnsi"/>
          <w:szCs w:val="23"/>
        </w:rPr>
        <w:t>.</w:t>
      </w:r>
    </w:p>
    <w:p w14:paraId="431B9DA7" w14:textId="1D80C533" w:rsidR="00EE1A1F" w:rsidRPr="002E5315" w:rsidRDefault="00EE1A1F" w:rsidP="00EE1A1F">
      <w:pPr>
        <w:shd w:val="clear" w:color="auto" w:fill="FFFFFF" w:themeFill="background1"/>
        <w:rPr>
          <w:rFonts w:cstheme="minorHAnsi"/>
          <w:bCs/>
          <w:szCs w:val="23"/>
        </w:rPr>
      </w:pPr>
      <w:r w:rsidRPr="002E5315">
        <w:rPr>
          <w:rFonts w:cstheme="minorHAnsi"/>
          <w:szCs w:val="23"/>
        </w:rPr>
        <w:t>Visoki upravni sud RH je u 18 (17,14%) slučajeva poništio rješenje Povjerenika</w:t>
      </w:r>
      <w:r w:rsidRPr="002E5315">
        <w:rPr>
          <w:rFonts w:cstheme="minorHAnsi"/>
          <w:b/>
          <w:bCs/>
          <w:szCs w:val="23"/>
        </w:rPr>
        <w:t>,</w:t>
      </w:r>
      <w:r w:rsidRPr="002E5315">
        <w:rPr>
          <w:rFonts w:cstheme="minorHAnsi"/>
          <w:bCs/>
          <w:szCs w:val="23"/>
        </w:rPr>
        <w:t xml:space="preserve"> na način da je u 4 slučaja poništio rješenje i riješio žalbu odnosno zahtjev, u 3 slučaja poništio rješenje i predmet vratio na ponovni postupak, u 3 slučaja poništio i drugostupanjsko i prvostupanjsko rješenje te u 8 slučajeva poništio rješenje Povjerenika.</w:t>
      </w:r>
    </w:p>
    <w:p w14:paraId="157BDB6C" w14:textId="77777777" w:rsidR="00EE1A1F" w:rsidRPr="002E5315" w:rsidRDefault="00EE1A1F" w:rsidP="00EE1A1F">
      <w:pPr>
        <w:shd w:val="clear" w:color="auto" w:fill="FFFFFF" w:themeFill="background1"/>
        <w:rPr>
          <w:rFonts w:cstheme="minorHAnsi"/>
          <w:bCs/>
          <w:szCs w:val="23"/>
        </w:rPr>
      </w:pPr>
      <w:r w:rsidRPr="002E5315">
        <w:rPr>
          <w:rFonts w:cstheme="minorHAnsi"/>
          <w:bCs/>
          <w:szCs w:val="23"/>
        </w:rPr>
        <w:t>Od 18 poništenih rješenja Povjerenika, 12 se odnosi na predmete u kojima je žalbu podnio isti korisnik protiv prvostupanjskih rješenja HBOR-a, od kojih se u 12 slučajeva radilo o rješenjima kojima je odbijen ili djelomično odbijen zahtjev za pristup informacijama temeljem odredbe članka 23. stavka 5. točke 5. ZPPI-ja (zlouporaba prava). Naime, u navedenim slučajevima Visoki Upravni sud RH je poništio rješenja Povjerenika kojima je kao neosnovana odbijena odnosno djelomično odbijena žalba istog korisnika izjavljena protiv navedenih rješenja HBOR-a, jer je smatrao da prema dosljednoj upravnosudskoj praksi, HBOR raspolaže javnim sredstvima te da se u slučaju raspolaganja javnim sredstvima ne može razmatrati pitanje zlouporabe prava na pristup informacijama.</w:t>
      </w:r>
    </w:p>
    <w:p w14:paraId="6853AAF4" w14:textId="77777777" w:rsidR="00EE1A1F" w:rsidRPr="002E5315" w:rsidRDefault="00EE1A1F" w:rsidP="00EE1A1F">
      <w:pPr>
        <w:shd w:val="clear" w:color="auto" w:fill="FFFFFF" w:themeFill="background1"/>
        <w:rPr>
          <w:rFonts w:cstheme="minorHAnsi"/>
          <w:bCs/>
          <w:szCs w:val="23"/>
        </w:rPr>
      </w:pPr>
      <w:r w:rsidRPr="002E5315">
        <w:rPr>
          <w:rFonts w:cstheme="minorHAnsi"/>
          <w:bCs/>
          <w:szCs w:val="23"/>
        </w:rPr>
        <w:t>U pogledu navedenog potrebno je istaknuti da institut zlouporabe prava na pristup informacijama podrazumijeva utvrđivanje postojanja zlouporabe prava neovisno o prirodi informacija koje se traže u zahtjevima za pristup informacijama korisnika, a da je moguće zloupotrijebiti navedeno pravo i kada se traže informacije o raspolaganju javnih sredstvima vidljivo je i iz ranije prakse Povjerenika kao žalbenog tijela, a također i iz prakse Visokog upravnog suda RH, primjerice u presudama: UsII-34/18-6 od 17. svibnja 2018., UsII-91/18-5 od 12. travnja 2018., UsII-202/18-5 od 11. srpnja 2018., UsII-225/19-5 od 16. svibnja 2019. - koje su javno dostupne na internet stranici Povjerenika u tražilici odluka i mišljenja Povjerenika za informiranje te s njima povezanim odlukama Visokog upravnog suda RH - TOM, na poveznici:</w:t>
      </w:r>
    </w:p>
    <w:p w14:paraId="4B9D8A36" w14:textId="752BB7E7" w:rsidR="00EE1A1F" w:rsidRPr="002E5315" w:rsidRDefault="00EE1A1F" w:rsidP="00EE1A1F">
      <w:pPr>
        <w:pStyle w:val="Odlomakpopisa"/>
        <w:shd w:val="clear" w:color="auto" w:fill="FFFFFF" w:themeFill="background1"/>
        <w:ind w:left="720"/>
        <w:rPr>
          <w:rFonts w:ascii="Gill Sans MT" w:hAnsi="Gill Sans MT" w:cs="Segoe UI"/>
          <w:b/>
          <w:sz w:val="23"/>
          <w:szCs w:val="23"/>
        </w:rPr>
      </w:pPr>
      <w:r w:rsidRPr="002E5315">
        <w:rPr>
          <w:rFonts w:ascii="Gill Sans MT" w:hAnsi="Gill Sans MT" w:cstheme="minorHAnsi"/>
          <w:b/>
          <w:sz w:val="23"/>
          <w:szCs w:val="23"/>
        </w:rPr>
        <w:t xml:space="preserve"> </w:t>
      </w:r>
      <w:r w:rsidRPr="002E5315">
        <w:rPr>
          <w:rFonts w:ascii="Gill Sans MT" w:hAnsi="Gill Sans MT"/>
          <w:b/>
          <w:sz w:val="23"/>
          <w:szCs w:val="23"/>
        </w:rPr>
        <w:t xml:space="preserve">- </w:t>
      </w:r>
      <w:hyperlink r:id="rId17" w:history="1">
        <w:r w:rsidRPr="002E5315">
          <w:rPr>
            <w:rStyle w:val="Hiperveza"/>
            <w:rFonts w:cs="Segoe UI"/>
            <w:b w:val="0"/>
            <w:szCs w:val="23"/>
          </w:rPr>
          <w:t>https://tom.pristupinfo.hr/pregledfilter1.php</w:t>
        </w:r>
      </w:hyperlink>
    </w:p>
    <w:p w14:paraId="75CC1A7F" w14:textId="77777777" w:rsidR="00EE1A1F" w:rsidRPr="002E5315" w:rsidRDefault="00EE1A1F" w:rsidP="00EE1A1F">
      <w:pPr>
        <w:shd w:val="clear" w:color="auto" w:fill="FFFFFF" w:themeFill="background1"/>
        <w:rPr>
          <w:rFonts w:cstheme="minorHAnsi"/>
          <w:bCs/>
          <w:szCs w:val="23"/>
        </w:rPr>
      </w:pPr>
      <w:r w:rsidRPr="002E5315">
        <w:rPr>
          <w:rFonts w:cstheme="minorHAnsi"/>
          <w:bCs/>
          <w:szCs w:val="23"/>
        </w:rPr>
        <w:t xml:space="preserve">U odnosu na obavijesti koje su donosila tijela javne vlasti pozivanjem na odredbu članka 23. stavka 1. točke 2.-6. ZPPI-ja, Povjerenik je u razdoblju od 2015. do kraja 2019. ukupno imao u radu 45 žalbi koje su se odnosile na rješenje o prigovoru protiv takvih obavijesti. U pogledu odluka Povjerenika vezanih za te žalbene postupke, ukupno je pred Visokim upravnim sudom RH pokrenuto 11 upravnih sporova. Analizom odluka koje su donesene u tim sporovima vidljivo je da je Visoki upravni sud RH u 2017. donio 2 presude kojima je odbio tužbeni zahtjev za </w:t>
      </w:r>
      <w:r w:rsidRPr="002E5315">
        <w:rPr>
          <w:rFonts w:cstheme="minorHAnsi"/>
          <w:bCs/>
          <w:szCs w:val="23"/>
        </w:rPr>
        <w:lastRenderedPageBreak/>
        <w:t>poništenje rješenja Povjerenika kojima je odbijena žalba izjavljena protiv rješenja o prigovoru prvostupanjskog tijela, dok je u 2018. u 7 slučajeva, a u 2019. u 1 slučaju, poništio rješenje o prigovoru te odbacio prigovor.</w:t>
      </w:r>
    </w:p>
    <w:p w14:paraId="32217505" w14:textId="77777777" w:rsidR="00EE1A1F" w:rsidRPr="002E5315" w:rsidRDefault="00EE1A1F" w:rsidP="00EE1A1F">
      <w:pPr>
        <w:shd w:val="clear" w:color="auto" w:fill="FFFFFF" w:themeFill="background1"/>
        <w:rPr>
          <w:rFonts w:cstheme="minorHAnsi"/>
          <w:bCs/>
          <w:szCs w:val="23"/>
        </w:rPr>
      </w:pPr>
      <w:r w:rsidRPr="002E5315">
        <w:rPr>
          <w:rFonts w:cstheme="minorHAnsi"/>
          <w:bCs/>
          <w:szCs w:val="23"/>
        </w:rPr>
        <w:t>U 2019. je protiv rješenja Povjerenika o žalbi na rješenje o prigovoru pokrenut 1 upravni spor, koji u navedenoj godini nije dovršen.</w:t>
      </w:r>
    </w:p>
    <w:p w14:paraId="45DA4E61" w14:textId="77777777" w:rsidR="00633D93" w:rsidRDefault="00EE1A1F" w:rsidP="00EE1A1F">
      <w:pPr>
        <w:shd w:val="clear" w:color="auto" w:fill="FFFFFF" w:themeFill="background1"/>
        <w:rPr>
          <w:rFonts w:cstheme="minorHAnsi"/>
          <w:szCs w:val="23"/>
        </w:rPr>
      </w:pPr>
      <w:r w:rsidRPr="002E5315">
        <w:rPr>
          <w:rFonts w:cstheme="minorHAnsi"/>
          <w:szCs w:val="23"/>
        </w:rPr>
        <w:t xml:space="preserve">Iz navedenog je vidljivo kako je </w:t>
      </w:r>
      <w:r w:rsidRPr="002E5315">
        <w:rPr>
          <w:rFonts w:cstheme="minorHAnsi"/>
          <w:bCs/>
          <w:szCs w:val="23"/>
        </w:rPr>
        <w:t>Visoki upravni sud RH</w:t>
      </w:r>
      <w:r w:rsidRPr="002E5315">
        <w:rPr>
          <w:rFonts w:cstheme="minorHAnsi"/>
          <w:szCs w:val="23"/>
        </w:rPr>
        <w:t xml:space="preserve"> je u određenim predmetima, ali ne u svim zaprimljenim odlukama tijekom 2017., 2018. i 2019., </w:t>
      </w:r>
      <w:r w:rsidRPr="002E5315">
        <w:rPr>
          <w:rFonts w:cstheme="minorHAnsi"/>
          <w:bCs/>
          <w:szCs w:val="23"/>
        </w:rPr>
        <w:t>zauzeo stav kako je prigovor, u kontekstu obavijesti iz članka 23. ZPPI-ja, nedopušten pravni lijek</w:t>
      </w:r>
      <w:r w:rsidRPr="002E5315">
        <w:rPr>
          <w:rFonts w:cstheme="minorHAnsi"/>
          <w:szCs w:val="23"/>
        </w:rPr>
        <w:t>, jer se u tim slučajevima ne radi o postupanju javnopravnog tijela u smislu odredbe članka 156. ZUP-a, već o obavijesti na koju se primjenjuje odredba članka 155. ZUP-a</w:t>
      </w:r>
      <w:r w:rsidR="00633D93">
        <w:rPr>
          <w:rFonts w:cstheme="minorHAnsi"/>
          <w:szCs w:val="23"/>
        </w:rPr>
        <w:t>.</w:t>
      </w:r>
    </w:p>
    <w:p w14:paraId="6DC3A46C" w14:textId="2F4003B0" w:rsidR="00B20D87" w:rsidRPr="002E5315" w:rsidRDefault="00EE1A1F" w:rsidP="00EE1A1F">
      <w:pPr>
        <w:shd w:val="clear" w:color="auto" w:fill="FFFFFF" w:themeFill="background1"/>
        <w:rPr>
          <w:rFonts w:cstheme="minorHAnsi"/>
          <w:szCs w:val="23"/>
        </w:rPr>
      </w:pPr>
      <w:r w:rsidRPr="002E5315">
        <w:rPr>
          <w:rFonts w:cstheme="minorHAnsi"/>
          <w:szCs w:val="23"/>
        </w:rPr>
        <w:t>S obzirom da je u drugim predmetima sa sličnom činjeničnom i pravnom osnovom, Visoki upravni sud RH 2017. prihvatio podnošenje prigovora protiv obavijesti iz članka 23. stavka 2. ZPPI-ja u smislu odredbe članka 156. ZUP-a, odnosno uvažio je u tim slučajevima postupanje prvostupanjskog tijela javne vlasti i naknadno Povjerenika, izgledno</w:t>
      </w:r>
      <w:r w:rsidRPr="002E5315">
        <w:rPr>
          <w:rFonts w:cstheme="minorHAnsi"/>
          <w:color w:val="FF0000"/>
          <w:szCs w:val="23"/>
        </w:rPr>
        <w:t xml:space="preserve"> </w:t>
      </w:r>
      <w:r w:rsidRPr="002E5315">
        <w:rPr>
          <w:rFonts w:cstheme="minorHAnsi"/>
          <w:szCs w:val="23"/>
        </w:rPr>
        <w:t xml:space="preserve">je da neujednačenost odluka može dovesti do pravne nesigurnosti te otvara prostor za zlouporabu procesnih ovlaštenja prilikom postupanja po zahtjevima za pristup informacijama. </w:t>
      </w:r>
      <w:r w:rsidRPr="002E5315">
        <w:rPr>
          <w:rFonts w:cstheme="minorHAnsi"/>
          <w:bCs/>
          <w:szCs w:val="23"/>
        </w:rPr>
        <w:t>Najveći problem, međutim, proizlazi iz potencijalne situacije da korisnicima prava na pristup informacijama bude uskraćena mogućnost podnošenja pravnog lijeka protiv nezakonitih obavijesti,</w:t>
      </w:r>
      <w:r w:rsidRPr="002E5315">
        <w:rPr>
          <w:rFonts w:cstheme="minorHAnsi"/>
          <w:szCs w:val="23"/>
        </w:rPr>
        <w:t xml:space="preserve"> što posljedično dovodi do višestrukih povreda prava korisnika: prava na pristup informacijama i prava na pravni lijek, koja su zajamčena Ustavom </w:t>
      </w:r>
      <w:r w:rsidRPr="002E5315">
        <w:rPr>
          <w:rFonts w:cs="Arial"/>
          <w:szCs w:val="23"/>
        </w:rPr>
        <w:t>Republike Hrvatske</w:t>
      </w:r>
      <w:r w:rsidRPr="002E5315">
        <w:rPr>
          <w:rFonts w:cstheme="minorHAnsi"/>
          <w:szCs w:val="23"/>
        </w:rPr>
        <w:t xml:space="preserve"> i mnogim međunarodnim dokumentima koji obvezuju Republiku Hrvatsku</w:t>
      </w:r>
      <w:r w:rsidR="00B20D87" w:rsidRPr="002E5315">
        <w:rPr>
          <w:rFonts w:cstheme="minorHAnsi"/>
          <w:szCs w:val="23"/>
        </w:rPr>
        <w:t>.</w:t>
      </w:r>
    </w:p>
    <w:p w14:paraId="0587A984" w14:textId="5483D3C8" w:rsidR="00B20D87" w:rsidRPr="002E5315" w:rsidRDefault="00B20D87" w:rsidP="00B20D87">
      <w:pPr>
        <w:pStyle w:val="Bezproreda"/>
        <w:keepNext/>
        <w:spacing w:before="240" w:after="120" w:line="276" w:lineRule="auto"/>
        <w:jc w:val="both"/>
        <w:rPr>
          <w:rFonts w:ascii="Gill Sans MT" w:hAnsi="Gill Sans MT" w:cs="Segoe UI"/>
          <w:sz w:val="20"/>
          <w:szCs w:val="20"/>
          <w:lang w:eastAsia="hr-HR"/>
        </w:rPr>
      </w:pPr>
      <w:r w:rsidRPr="002E5315">
        <w:rPr>
          <w:rFonts w:ascii="Gill Sans MT" w:hAnsi="Gill Sans MT" w:cs="Segoe UI"/>
          <w:sz w:val="20"/>
          <w:szCs w:val="20"/>
          <w:lang w:eastAsia="hr-HR"/>
        </w:rPr>
        <w:t xml:space="preserve">Tablica </w:t>
      </w:r>
      <w:r w:rsidR="00E42F27" w:rsidRPr="002E5315">
        <w:rPr>
          <w:rFonts w:ascii="Gill Sans MT" w:hAnsi="Gill Sans MT" w:cs="Segoe UI"/>
          <w:sz w:val="20"/>
          <w:szCs w:val="20"/>
          <w:lang w:eastAsia="hr-HR"/>
        </w:rPr>
        <w:t>3</w:t>
      </w:r>
      <w:r w:rsidRPr="002E5315">
        <w:rPr>
          <w:rFonts w:ascii="Gill Sans MT" w:hAnsi="Gill Sans MT" w:cs="Segoe UI"/>
          <w:sz w:val="20"/>
          <w:szCs w:val="20"/>
          <w:lang w:eastAsia="hr-HR"/>
        </w:rPr>
        <w:t>.1</w:t>
      </w:r>
      <w:r w:rsidR="00E42F27" w:rsidRPr="002E5315">
        <w:rPr>
          <w:rFonts w:ascii="Gill Sans MT" w:hAnsi="Gill Sans MT" w:cs="Segoe UI"/>
          <w:sz w:val="20"/>
          <w:szCs w:val="20"/>
          <w:lang w:eastAsia="hr-HR"/>
        </w:rPr>
        <w:t>1</w:t>
      </w:r>
      <w:r w:rsidRPr="002E5315">
        <w:rPr>
          <w:rFonts w:ascii="Gill Sans MT" w:hAnsi="Gill Sans MT" w:cs="Segoe UI"/>
          <w:sz w:val="20"/>
          <w:szCs w:val="20"/>
          <w:lang w:eastAsia="hr-HR"/>
        </w:rPr>
        <w:t>. Upravni sporovi u 2019. prema zaprimljenim odlukama</w:t>
      </w:r>
    </w:p>
    <w:tbl>
      <w:tblPr>
        <w:tblStyle w:val="LightShading-Accent11"/>
        <w:tblW w:w="9072" w:type="dxa"/>
        <w:jc w:val="center"/>
        <w:tblLayout w:type="fixed"/>
        <w:tblLook w:val="04A0" w:firstRow="1" w:lastRow="0" w:firstColumn="1" w:lastColumn="0" w:noHBand="0" w:noVBand="1"/>
      </w:tblPr>
      <w:tblGrid>
        <w:gridCol w:w="4962"/>
        <w:gridCol w:w="2055"/>
        <w:gridCol w:w="2055"/>
      </w:tblGrid>
      <w:tr w:rsidR="00B20D87" w:rsidRPr="002E5315" w14:paraId="77B627AA" w14:textId="77777777" w:rsidTr="007C569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vAlign w:val="center"/>
          </w:tcPr>
          <w:p w14:paraId="407EDE2E" w14:textId="5EE6E656" w:rsidR="00B20D87" w:rsidRPr="002E5315" w:rsidRDefault="00B20D87" w:rsidP="007C569F">
            <w:pPr>
              <w:shd w:val="clear" w:color="auto" w:fill="FFFFFF" w:themeFill="background1"/>
              <w:rPr>
                <w:rFonts w:cs="Arial"/>
                <w:bCs w:val="0"/>
                <w:color w:val="auto"/>
                <w:sz w:val="20"/>
                <w:szCs w:val="20"/>
                <w:highlight w:val="yellow"/>
                <w:lang w:eastAsia="zh-CN"/>
              </w:rPr>
            </w:pPr>
            <w:r w:rsidRPr="002E5315">
              <w:rPr>
                <w:rFonts w:cs="Arial"/>
                <w:bCs w:val="0"/>
                <w:color w:val="auto"/>
                <w:sz w:val="20"/>
                <w:szCs w:val="20"/>
                <w:lang w:eastAsia="zh-CN"/>
              </w:rPr>
              <w:t>Zaprimljene odluke Visokog upravnog suda RH u 2019. prema ishodu</w:t>
            </w:r>
          </w:p>
        </w:tc>
        <w:tc>
          <w:tcPr>
            <w:tcW w:w="2055" w:type="dxa"/>
            <w:noWrap/>
            <w:vAlign w:val="center"/>
          </w:tcPr>
          <w:p w14:paraId="5E1E7183" w14:textId="77777777" w:rsidR="00B20D87" w:rsidRPr="002E5315" w:rsidRDefault="00B20D87" w:rsidP="007C569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175</w:t>
            </w:r>
          </w:p>
        </w:tc>
        <w:tc>
          <w:tcPr>
            <w:tcW w:w="2055" w:type="dxa"/>
            <w:vAlign w:val="center"/>
          </w:tcPr>
          <w:p w14:paraId="50F59085" w14:textId="77777777" w:rsidR="00B20D87" w:rsidRPr="002E5315" w:rsidRDefault="00B20D87" w:rsidP="007C569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100%</w:t>
            </w:r>
          </w:p>
        </w:tc>
      </w:tr>
      <w:tr w:rsidR="00B20D87" w:rsidRPr="002E5315" w14:paraId="430AAEA1"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vAlign w:val="center"/>
          </w:tcPr>
          <w:p w14:paraId="221C8D6F" w14:textId="77777777" w:rsidR="00B20D87" w:rsidRPr="002E5315" w:rsidRDefault="00B20D87" w:rsidP="007C569F">
            <w:pPr>
              <w:rPr>
                <w:i/>
                <w:color w:val="auto"/>
                <w:sz w:val="20"/>
                <w:szCs w:val="20"/>
              </w:rPr>
            </w:pPr>
            <w:r w:rsidRPr="002E5315">
              <w:rPr>
                <w:i/>
                <w:color w:val="auto"/>
                <w:sz w:val="20"/>
                <w:szCs w:val="20"/>
              </w:rPr>
              <w:t>Tužbe protiv rješenja</w:t>
            </w:r>
          </w:p>
        </w:tc>
        <w:tc>
          <w:tcPr>
            <w:tcW w:w="2055" w:type="dxa"/>
            <w:shd w:val="clear" w:color="auto" w:fill="D9E2F3" w:themeFill="accent1" w:themeFillTint="33"/>
            <w:noWrap/>
            <w:vAlign w:val="center"/>
          </w:tcPr>
          <w:p w14:paraId="3C6AABB9"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105</w:t>
            </w:r>
          </w:p>
        </w:tc>
        <w:tc>
          <w:tcPr>
            <w:tcW w:w="2055" w:type="dxa"/>
            <w:shd w:val="clear" w:color="auto" w:fill="D9E2F3" w:themeFill="accent1" w:themeFillTint="33"/>
            <w:noWrap/>
            <w:vAlign w:val="center"/>
          </w:tcPr>
          <w:p w14:paraId="634AAE39"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100%</w:t>
            </w:r>
          </w:p>
        </w:tc>
      </w:tr>
      <w:tr w:rsidR="00B20D87" w:rsidRPr="002E5315" w14:paraId="480C45E3"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vAlign w:val="center"/>
          </w:tcPr>
          <w:p w14:paraId="0BDA1BE0" w14:textId="77777777" w:rsidR="00B20D87" w:rsidRPr="002E5315" w:rsidRDefault="00B20D87" w:rsidP="007C569F">
            <w:pPr>
              <w:rPr>
                <w:color w:val="auto"/>
                <w:sz w:val="20"/>
                <w:szCs w:val="20"/>
              </w:rPr>
            </w:pPr>
            <w:r w:rsidRPr="002E5315">
              <w:rPr>
                <w:rFonts w:cs="Arial"/>
                <w:b w:val="0"/>
                <w:bCs w:val="0"/>
                <w:i/>
                <w:color w:val="auto"/>
                <w:sz w:val="20"/>
                <w:szCs w:val="20"/>
                <w:lang w:eastAsia="zh-CN"/>
              </w:rPr>
              <w:tab/>
              <w:t>tužba odbijena, potvrđena odluka Povjerenika</w:t>
            </w:r>
          </w:p>
        </w:tc>
        <w:tc>
          <w:tcPr>
            <w:tcW w:w="2055" w:type="dxa"/>
            <w:noWrap/>
            <w:vAlign w:val="center"/>
          </w:tcPr>
          <w:p w14:paraId="496C1B7E"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80</w:t>
            </w:r>
          </w:p>
        </w:tc>
        <w:tc>
          <w:tcPr>
            <w:tcW w:w="2055" w:type="dxa"/>
            <w:noWrap/>
            <w:vAlign w:val="center"/>
          </w:tcPr>
          <w:p w14:paraId="536796AD"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76,20</w:t>
            </w:r>
          </w:p>
        </w:tc>
      </w:tr>
      <w:tr w:rsidR="00B20D87" w:rsidRPr="002E5315" w14:paraId="3A08A84A"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vAlign w:val="center"/>
          </w:tcPr>
          <w:p w14:paraId="19E1E38B" w14:textId="77777777" w:rsidR="00B20D87" w:rsidRPr="002E5315" w:rsidRDefault="00B20D87" w:rsidP="007C569F">
            <w:pPr>
              <w:rPr>
                <w:color w:val="auto"/>
                <w:sz w:val="20"/>
                <w:szCs w:val="20"/>
              </w:rPr>
            </w:pPr>
            <w:r w:rsidRPr="002E5315">
              <w:rPr>
                <w:rFonts w:cs="Arial"/>
                <w:b w:val="0"/>
                <w:bCs w:val="0"/>
                <w:i/>
                <w:color w:val="auto"/>
                <w:sz w:val="20"/>
                <w:szCs w:val="20"/>
                <w:lang w:eastAsia="zh-CN"/>
              </w:rPr>
              <w:tab/>
              <w:t>tužba odbijena, poništene pojedine točke/rok</w:t>
            </w:r>
          </w:p>
        </w:tc>
        <w:tc>
          <w:tcPr>
            <w:tcW w:w="2055" w:type="dxa"/>
            <w:shd w:val="clear" w:color="auto" w:fill="D9E2F3" w:themeFill="accent1" w:themeFillTint="33"/>
            <w:noWrap/>
            <w:vAlign w:val="center"/>
          </w:tcPr>
          <w:p w14:paraId="09E30951"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6</w:t>
            </w:r>
          </w:p>
        </w:tc>
        <w:tc>
          <w:tcPr>
            <w:tcW w:w="2055" w:type="dxa"/>
            <w:shd w:val="clear" w:color="auto" w:fill="D9E2F3" w:themeFill="accent1" w:themeFillTint="33"/>
            <w:noWrap/>
          </w:tcPr>
          <w:p w14:paraId="65E91648"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5,71</w:t>
            </w:r>
          </w:p>
        </w:tc>
      </w:tr>
      <w:tr w:rsidR="00B20D87" w:rsidRPr="002E5315" w14:paraId="4EB7B3BF"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vAlign w:val="center"/>
          </w:tcPr>
          <w:p w14:paraId="792CFA71" w14:textId="77777777" w:rsidR="00B20D87" w:rsidRPr="002E5315" w:rsidRDefault="00B20D87" w:rsidP="007C569F">
            <w:pPr>
              <w:rPr>
                <w:b w:val="0"/>
                <w:i/>
                <w:color w:val="auto"/>
                <w:sz w:val="20"/>
                <w:szCs w:val="20"/>
              </w:rPr>
            </w:pPr>
            <w:r w:rsidRPr="002E5315">
              <w:rPr>
                <w:color w:val="auto"/>
                <w:sz w:val="20"/>
                <w:szCs w:val="20"/>
              </w:rPr>
              <w:tab/>
            </w:r>
            <w:r w:rsidRPr="002E5315">
              <w:rPr>
                <w:b w:val="0"/>
                <w:i/>
                <w:color w:val="auto"/>
                <w:sz w:val="20"/>
                <w:szCs w:val="20"/>
              </w:rPr>
              <w:t>poništeno rješenje Povjerenika</w:t>
            </w:r>
          </w:p>
        </w:tc>
        <w:tc>
          <w:tcPr>
            <w:tcW w:w="2055" w:type="dxa"/>
            <w:noWrap/>
            <w:vAlign w:val="center"/>
          </w:tcPr>
          <w:p w14:paraId="4D90BFE7"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18</w:t>
            </w:r>
          </w:p>
        </w:tc>
        <w:tc>
          <w:tcPr>
            <w:tcW w:w="2055" w:type="dxa"/>
            <w:noWrap/>
          </w:tcPr>
          <w:p w14:paraId="451EEEB0"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17,14</w:t>
            </w:r>
          </w:p>
        </w:tc>
      </w:tr>
      <w:tr w:rsidR="00B20D87" w:rsidRPr="002E5315" w14:paraId="2FB63776"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vAlign w:val="center"/>
          </w:tcPr>
          <w:p w14:paraId="7877901B" w14:textId="77777777" w:rsidR="00B20D87" w:rsidRPr="002E5315" w:rsidRDefault="00B20D87" w:rsidP="007C569F">
            <w:pPr>
              <w:rPr>
                <w:color w:val="auto"/>
                <w:sz w:val="20"/>
                <w:szCs w:val="20"/>
              </w:rPr>
            </w:pPr>
            <w:r w:rsidRPr="002E5315">
              <w:rPr>
                <w:b w:val="0"/>
                <w:i/>
                <w:color w:val="auto"/>
                <w:sz w:val="20"/>
                <w:szCs w:val="20"/>
              </w:rPr>
              <w:tab/>
              <w:t>tužba odbačena</w:t>
            </w:r>
          </w:p>
        </w:tc>
        <w:tc>
          <w:tcPr>
            <w:tcW w:w="2055" w:type="dxa"/>
            <w:shd w:val="clear" w:color="auto" w:fill="D9E2F3" w:themeFill="accent1" w:themeFillTint="33"/>
            <w:noWrap/>
            <w:vAlign w:val="center"/>
          </w:tcPr>
          <w:p w14:paraId="1DE06754"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w:t>
            </w:r>
          </w:p>
        </w:tc>
        <w:tc>
          <w:tcPr>
            <w:tcW w:w="2055" w:type="dxa"/>
            <w:shd w:val="clear" w:color="auto" w:fill="D9E2F3" w:themeFill="accent1" w:themeFillTint="33"/>
            <w:noWrap/>
          </w:tcPr>
          <w:p w14:paraId="44E8BD62"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0,95</w:t>
            </w:r>
          </w:p>
        </w:tc>
      </w:tr>
      <w:tr w:rsidR="00B20D87" w:rsidRPr="002E5315" w14:paraId="3D1751AD"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vAlign w:val="center"/>
          </w:tcPr>
          <w:p w14:paraId="7C7A820E" w14:textId="77777777" w:rsidR="00B20D87" w:rsidRPr="002E5315" w:rsidRDefault="00B20D87" w:rsidP="007C569F">
            <w:pPr>
              <w:ind w:left="709"/>
              <w:rPr>
                <w:rFonts w:cs="Arial"/>
                <w:b w:val="0"/>
                <w:bCs w:val="0"/>
                <w:i/>
                <w:color w:val="auto"/>
                <w:sz w:val="20"/>
                <w:szCs w:val="20"/>
                <w:lang w:eastAsia="zh-CN"/>
              </w:rPr>
            </w:pPr>
          </w:p>
        </w:tc>
        <w:tc>
          <w:tcPr>
            <w:tcW w:w="2055" w:type="dxa"/>
            <w:noWrap/>
            <w:vAlign w:val="center"/>
          </w:tcPr>
          <w:p w14:paraId="02DC4B46"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055" w:type="dxa"/>
            <w:noWrap/>
            <w:vAlign w:val="center"/>
          </w:tcPr>
          <w:p w14:paraId="58407D64"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20D87" w:rsidRPr="002E5315" w14:paraId="374D2832"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vAlign w:val="center"/>
          </w:tcPr>
          <w:p w14:paraId="42A53D5A" w14:textId="77777777" w:rsidR="00B20D87" w:rsidRPr="002E5315" w:rsidRDefault="00B20D87" w:rsidP="007C569F">
            <w:pPr>
              <w:rPr>
                <w:rFonts w:cs="Arial"/>
                <w:b w:val="0"/>
                <w:bCs w:val="0"/>
                <w:i/>
                <w:color w:val="auto"/>
                <w:sz w:val="20"/>
                <w:szCs w:val="20"/>
                <w:lang w:eastAsia="zh-CN"/>
              </w:rPr>
            </w:pPr>
            <w:r w:rsidRPr="002E5315">
              <w:rPr>
                <w:i/>
                <w:color w:val="auto"/>
                <w:sz w:val="20"/>
                <w:szCs w:val="20"/>
              </w:rPr>
              <w:t>Tužbe zbog šutnje uprave</w:t>
            </w:r>
          </w:p>
        </w:tc>
        <w:tc>
          <w:tcPr>
            <w:tcW w:w="2055" w:type="dxa"/>
            <w:shd w:val="clear" w:color="auto" w:fill="D9E2F3" w:themeFill="accent1" w:themeFillTint="33"/>
            <w:noWrap/>
            <w:vAlign w:val="center"/>
          </w:tcPr>
          <w:p w14:paraId="582F87ED"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70</w:t>
            </w:r>
          </w:p>
        </w:tc>
        <w:tc>
          <w:tcPr>
            <w:tcW w:w="2055" w:type="dxa"/>
            <w:shd w:val="clear" w:color="auto" w:fill="D9E2F3" w:themeFill="accent1" w:themeFillTint="33"/>
            <w:noWrap/>
            <w:vAlign w:val="center"/>
          </w:tcPr>
          <w:p w14:paraId="327E6DF5"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100%</w:t>
            </w:r>
          </w:p>
        </w:tc>
      </w:tr>
      <w:tr w:rsidR="00B20D87" w:rsidRPr="002E5315" w14:paraId="43D567D1"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vAlign w:val="center"/>
          </w:tcPr>
          <w:p w14:paraId="260BD7FD" w14:textId="77777777" w:rsidR="00B20D87" w:rsidRPr="002E5315" w:rsidRDefault="00B20D87" w:rsidP="007C569F">
            <w:pPr>
              <w:ind w:left="709"/>
              <w:rPr>
                <w:rFonts w:cs="Arial"/>
                <w:b w:val="0"/>
                <w:i/>
                <w:color w:val="auto"/>
                <w:sz w:val="20"/>
                <w:szCs w:val="20"/>
                <w:lang w:eastAsia="zh-CN"/>
              </w:rPr>
            </w:pPr>
            <w:r w:rsidRPr="002E5315">
              <w:rPr>
                <w:rFonts w:cs="Arial"/>
                <w:b w:val="0"/>
                <w:i/>
                <w:color w:val="auto"/>
                <w:sz w:val="20"/>
                <w:szCs w:val="20"/>
                <w:lang w:eastAsia="zh-CN"/>
              </w:rPr>
              <w:t>postupak obustavljen, Povjerenik riješio predmet</w:t>
            </w:r>
          </w:p>
          <w:p w14:paraId="2F69C5E0" w14:textId="77777777" w:rsidR="00B20D87" w:rsidRPr="002E5315" w:rsidRDefault="00B20D87" w:rsidP="007C569F">
            <w:pPr>
              <w:ind w:left="709"/>
              <w:rPr>
                <w:rFonts w:cs="Arial"/>
                <w:b w:val="0"/>
                <w:bCs w:val="0"/>
                <w:i/>
                <w:color w:val="auto"/>
                <w:sz w:val="20"/>
                <w:szCs w:val="20"/>
                <w:lang w:eastAsia="zh-CN"/>
              </w:rPr>
            </w:pPr>
            <w:r w:rsidRPr="002E5315">
              <w:rPr>
                <w:rFonts w:cs="Arial"/>
                <w:b w:val="0"/>
                <w:i/>
                <w:color w:val="auto"/>
                <w:sz w:val="20"/>
                <w:szCs w:val="20"/>
                <w:lang w:eastAsia="zh-CN"/>
              </w:rPr>
              <w:t>odbijen tužbeni zahtjev</w:t>
            </w:r>
          </w:p>
        </w:tc>
        <w:tc>
          <w:tcPr>
            <w:tcW w:w="2055" w:type="dxa"/>
            <w:noWrap/>
            <w:vAlign w:val="center"/>
          </w:tcPr>
          <w:p w14:paraId="07D8E85D"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60</w:t>
            </w:r>
          </w:p>
          <w:p w14:paraId="2756DDED"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3</w:t>
            </w:r>
          </w:p>
        </w:tc>
        <w:tc>
          <w:tcPr>
            <w:tcW w:w="2055" w:type="dxa"/>
            <w:noWrap/>
          </w:tcPr>
          <w:p w14:paraId="4A8C9208"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85,71</w:t>
            </w:r>
          </w:p>
          <w:p w14:paraId="0DCB1AF2"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4,29</w:t>
            </w:r>
          </w:p>
        </w:tc>
      </w:tr>
      <w:tr w:rsidR="00B20D87" w:rsidRPr="002E5315" w14:paraId="1244EA98" w14:textId="77777777" w:rsidTr="002178F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9E2F3" w:themeFill="accent1" w:themeFillTint="33"/>
            <w:noWrap/>
            <w:vAlign w:val="center"/>
          </w:tcPr>
          <w:p w14:paraId="6CFC95B7" w14:textId="77777777" w:rsidR="00B20D87" w:rsidRPr="002E5315" w:rsidRDefault="00B20D87" w:rsidP="007C569F">
            <w:pPr>
              <w:ind w:left="709"/>
              <w:rPr>
                <w:rFonts w:cs="Arial"/>
                <w:b w:val="0"/>
                <w:bCs w:val="0"/>
                <w:i/>
                <w:color w:val="auto"/>
                <w:sz w:val="20"/>
                <w:szCs w:val="20"/>
                <w:lang w:eastAsia="zh-CN"/>
              </w:rPr>
            </w:pPr>
            <w:r w:rsidRPr="002E5315">
              <w:rPr>
                <w:rFonts w:cs="Arial"/>
                <w:b w:val="0"/>
                <w:i/>
                <w:color w:val="auto"/>
                <w:sz w:val="20"/>
                <w:szCs w:val="20"/>
                <w:lang w:eastAsia="zh-CN"/>
              </w:rPr>
              <w:t>tužba odbačena</w:t>
            </w:r>
          </w:p>
        </w:tc>
        <w:tc>
          <w:tcPr>
            <w:tcW w:w="2055" w:type="dxa"/>
            <w:shd w:val="clear" w:color="auto" w:fill="D9E2F3" w:themeFill="accent1" w:themeFillTint="33"/>
            <w:noWrap/>
            <w:vAlign w:val="center"/>
          </w:tcPr>
          <w:p w14:paraId="310870B0"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w:t>
            </w:r>
          </w:p>
        </w:tc>
        <w:tc>
          <w:tcPr>
            <w:tcW w:w="2055" w:type="dxa"/>
            <w:shd w:val="clear" w:color="auto" w:fill="D9E2F3" w:themeFill="accent1" w:themeFillTint="33"/>
            <w:noWrap/>
          </w:tcPr>
          <w:p w14:paraId="2BD7D64C" w14:textId="77777777" w:rsidR="00B20D87" w:rsidRPr="002E5315" w:rsidRDefault="00B20D87" w:rsidP="007C569F">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7,14</w:t>
            </w:r>
          </w:p>
        </w:tc>
      </w:tr>
      <w:tr w:rsidR="00B20D87" w:rsidRPr="002E5315" w14:paraId="6853928F" w14:textId="77777777" w:rsidTr="007C569F">
        <w:trPr>
          <w:trHeight w:val="255"/>
          <w:jc w:val="center"/>
        </w:trPr>
        <w:tc>
          <w:tcPr>
            <w:cnfStyle w:val="001000000000" w:firstRow="0" w:lastRow="0" w:firstColumn="1" w:lastColumn="0" w:oddVBand="0" w:evenVBand="0" w:oddHBand="0" w:evenHBand="0" w:firstRowFirstColumn="0" w:firstRowLastColumn="0" w:lastRowFirstColumn="0" w:lastRowLastColumn="0"/>
            <w:tcW w:w="4962" w:type="dxa"/>
            <w:noWrap/>
            <w:vAlign w:val="center"/>
          </w:tcPr>
          <w:p w14:paraId="78E8798B" w14:textId="77777777" w:rsidR="00B20D87" w:rsidRPr="002E5315" w:rsidRDefault="00B20D87" w:rsidP="007C569F">
            <w:pPr>
              <w:ind w:left="709"/>
              <w:rPr>
                <w:rFonts w:cs="Arial"/>
                <w:b w:val="0"/>
                <w:bCs w:val="0"/>
                <w:color w:val="auto"/>
                <w:sz w:val="20"/>
                <w:szCs w:val="20"/>
                <w:lang w:eastAsia="zh-CN"/>
              </w:rPr>
            </w:pPr>
            <w:r w:rsidRPr="002E5315">
              <w:rPr>
                <w:rFonts w:cs="Arial"/>
                <w:b w:val="0"/>
                <w:i/>
                <w:color w:val="auto"/>
                <w:sz w:val="20"/>
                <w:szCs w:val="20"/>
                <w:lang w:eastAsia="zh-CN"/>
              </w:rPr>
              <w:t>tužba usvojena, nalog za rješavanje</w:t>
            </w:r>
          </w:p>
        </w:tc>
        <w:tc>
          <w:tcPr>
            <w:tcW w:w="2055" w:type="dxa"/>
            <w:noWrap/>
            <w:vAlign w:val="center"/>
          </w:tcPr>
          <w:p w14:paraId="098BCFC5"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w:t>
            </w:r>
          </w:p>
        </w:tc>
        <w:tc>
          <w:tcPr>
            <w:tcW w:w="2055" w:type="dxa"/>
            <w:noWrap/>
          </w:tcPr>
          <w:p w14:paraId="53AE7F39" w14:textId="77777777" w:rsidR="00B20D87" w:rsidRPr="002E5315" w:rsidRDefault="00B20D87"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zh-CN"/>
              </w:rPr>
            </w:pPr>
            <w:r w:rsidRPr="002E5315">
              <w:rPr>
                <w:rFonts w:cs="Arial"/>
                <w:color w:val="auto"/>
                <w:sz w:val="20"/>
                <w:szCs w:val="20"/>
                <w:lang w:eastAsia="zh-CN"/>
              </w:rPr>
              <w:t>2,86</w:t>
            </w:r>
          </w:p>
        </w:tc>
      </w:tr>
    </w:tbl>
    <w:p w14:paraId="692A6485" w14:textId="77777777" w:rsidR="00B20D87" w:rsidRPr="002E5315" w:rsidRDefault="00B20D87" w:rsidP="00B20D87">
      <w:pPr>
        <w:shd w:val="clear" w:color="auto" w:fill="FFFFFF" w:themeFill="background1"/>
        <w:rPr>
          <w:rFonts w:cs="Segoe UI"/>
          <w:i/>
          <w:sz w:val="20"/>
          <w:szCs w:val="20"/>
        </w:rPr>
      </w:pPr>
      <w:r w:rsidRPr="002E5315">
        <w:rPr>
          <w:rFonts w:cs="Segoe UI"/>
          <w:i/>
          <w:sz w:val="20"/>
          <w:szCs w:val="20"/>
        </w:rPr>
        <w:t>Napomena: predmeti se odnose na ostvarivanje prava na pristup informacijama</w:t>
      </w:r>
    </w:p>
    <w:p w14:paraId="3A8CA79F" w14:textId="77777777" w:rsidR="00633D93" w:rsidRDefault="00EE1A1F" w:rsidP="00EE1A1F">
      <w:pPr>
        <w:shd w:val="clear" w:color="auto" w:fill="FFFFFF" w:themeFill="background1"/>
        <w:spacing w:before="240"/>
        <w:rPr>
          <w:rFonts w:cs="Segoe UI"/>
          <w:szCs w:val="23"/>
        </w:rPr>
      </w:pPr>
      <w:r w:rsidRPr="002E5315">
        <w:rPr>
          <w:rFonts w:cs="Segoe UI"/>
          <w:bCs/>
          <w:szCs w:val="23"/>
        </w:rPr>
        <w:t>U 70 slučajeva radilo se o upravnom sporu zbog nedonošenja odluke po žalbi</w:t>
      </w:r>
      <w:r w:rsidRPr="002E5315">
        <w:rPr>
          <w:rFonts w:cs="Segoe UI"/>
          <w:szCs w:val="23"/>
        </w:rPr>
        <w:t xml:space="preserve"> (zbog šutnje uprave), od kojih je u 60 slučajeva (85,71%) Visoki upravni sud RH rješenjem obustavio postupak </w:t>
      </w:r>
      <w:r w:rsidRPr="002E5315">
        <w:rPr>
          <w:rFonts w:cs="Segoe UI"/>
          <w:szCs w:val="23"/>
        </w:rPr>
        <w:lastRenderedPageBreak/>
        <w:t>jer je Povjerenik u međuvremenu riješio predmet, u 5 (7,14%) slučajeva je Visoki upravni sud RH odbacio tužbe tužitelja te je u 3 slučaja (4,29%) odbio tužbeni zahtjev, a u 2 (2,86%) slučaja po šutnji uprave naložio Povjereniku da riješi žalbu</w:t>
      </w:r>
      <w:r w:rsidR="00633D93">
        <w:rPr>
          <w:rFonts w:cs="Segoe UI"/>
          <w:szCs w:val="23"/>
        </w:rPr>
        <w:t>.</w:t>
      </w:r>
    </w:p>
    <w:p w14:paraId="44464FBA" w14:textId="62FDB81A" w:rsidR="00EE1A1F" w:rsidRPr="002E5315" w:rsidRDefault="00EE1A1F" w:rsidP="00EE1A1F">
      <w:pPr>
        <w:shd w:val="clear" w:color="auto" w:fill="FFFFFF" w:themeFill="background1"/>
        <w:rPr>
          <w:rFonts w:cstheme="minorHAnsi"/>
          <w:szCs w:val="23"/>
        </w:rPr>
      </w:pPr>
      <w:r w:rsidRPr="002E5315">
        <w:rPr>
          <w:rFonts w:cstheme="minorHAnsi"/>
          <w:szCs w:val="23"/>
        </w:rPr>
        <w:t>Povjerenik je u 2019. također zaprimio i 15 rješenja Visokog upravnog suda RH koja nisu donesena po tužbama nego drugim podnescima podnesenim od strane korisnika, ali i samog Povjerenika (9 rješenja o odbacivanju prijedloga za rješavanje sukoba nadležnosti, 3 rješenja da je za postupanje u predmetu nadležan Gradski ured za opću upravu Grada Zagreba, 2 rješenja o odbacivanju prijedloga za donošenje dopunske presude i 1 rješenje kojim je odbijen prijedlog za izdavanje privremene mjere).</w:t>
      </w:r>
    </w:p>
    <w:p w14:paraId="586D6C8F" w14:textId="77777777" w:rsidR="00EE1A1F" w:rsidRPr="002E5315" w:rsidRDefault="00EE1A1F" w:rsidP="00EE1A1F">
      <w:pPr>
        <w:shd w:val="clear" w:color="auto" w:fill="FFFFFF" w:themeFill="background1"/>
        <w:rPr>
          <w:rFonts w:cs="Segoe UI"/>
          <w:szCs w:val="23"/>
        </w:rPr>
      </w:pPr>
      <w:r w:rsidRPr="002E5315">
        <w:rPr>
          <w:rFonts w:cs="Segoe UI"/>
          <w:szCs w:val="23"/>
        </w:rPr>
        <w:t>U nastavku dajemo prikaz značajnijih presuda Visokog upravnog suda RH kojima je potvrđeno rješenje Povjerenika i omogućen pristup informacijama:</w:t>
      </w:r>
    </w:p>
    <w:p w14:paraId="78EA898E"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HBOR: popis krajnjih korisnika kredita koje je HBOR kreditirao u određenom vremenskom razdoblju, uz iznose, Visoki upravni sud RH, Poslovni broj: UsII-501/19-5 od 7. studenog 2019.</w:t>
      </w:r>
    </w:p>
    <w:p w14:paraId="58AC0418"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HBOR: Popis korisnika kredita koje je HBOR kreditirao u određenom vremenskom razdoblju, Visoki upravni sud RH, Poslovni broj: UsII-18/19-8 od 6. ožujka 2019.</w:t>
      </w:r>
    </w:p>
    <w:p w14:paraId="5A260221"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Grad Zagreb: Ukupne isplate odvjetnicima u određenom vremenskom razdoblju, uz zaštitu zaštićenih osobnih podataka, Visoki upravni sud RH, Poslovni broj: UsII-398/19-6 od 24. listopada 2019.</w:t>
      </w:r>
    </w:p>
    <w:p w14:paraId="7F2C9E07"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HZZO: Ugovor o nabavi usluge zakupa medijskog prostora za promidžbenu kampanju, troškovnik, računi, izvod stavki dobavljača, uz zaštitu zaštićenih osobnih podataka, Visoki upravni sud RH, Poslovni broj: UsII-388/19-8 od 16. listopada 2019.</w:t>
      </w:r>
    </w:p>
    <w:p w14:paraId="6DB75DEA"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Ministarstvo rada i mirovinskog sustava: Zapisnik o inspekcijskom nadzoru, uz zaštitu zaštićenih osobnih podataka, Visoki upravni sud RH, Poslovni broj: UsII-206/19-6 od 23. svibnja 2019.</w:t>
      </w:r>
    </w:p>
    <w:p w14:paraId="2E9ABF16"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Komunalac Čepin d.o.o.: Ugovor o najmu nekretnine, natječajna dokumentacija, podaci o zaposlenima, uz zaštitu zaštićenih osobnih podataka, Visoki upravni sud RH, Poslovni broj: UsII-41/19-6 od 16. svibnja 2019.</w:t>
      </w:r>
    </w:p>
    <w:p w14:paraId="01A18A2F"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Ministarstvo zdravstva: Arhivski dopisi, Visoki upravni sud RH, Poslovni broj: UsII-181/19-7 od 9. svibnja 2019.</w:t>
      </w:r>
    </w:p>
    <w:p w14:paraId="2D3EE2B9"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Hrvatska radiotelevizija: Ugovor o distribuciji i marketingu,</w:t>
      </w:r>
      <w:r w:rsidRPr="002E5315">
        <w:rPr>
          <w:rFonts w:cs="Segoe UI"/>
          <w:color w:val="FF0000"/>
          <w:szCs w:val="23"/>
        </w:rPr>
        <w:t xml:space="preserve"> </w:t>
      </w:r>
      <w:r w:rsidRPr="002E5315">
        <w:rPr>
          <w:rFonts w:cs="Segoe UI"/>
          <w:szCs w:val="23"/>
        </w:rPr>
        <w:t>Visoki upravni sud RH, Poslovni broj: UsII-231/18-7 10. travnja 2019.</w:t>
      </w:r>
    </w:p>
    <w:p w14:paraId="608CAF25"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HBOR:</w:t>
      </w:r>
      <w:r w:rsidRPr="002E5315">
        <w:rPr>
          <w:rFonts w:cs="Segoe UI"/>
          <w:color w:val="FF0000"/>
          <w:szCs w:val="23"/>
        </w:rPr>
        <w:t xml:space="preserve"> </w:t>
      </w:r>
      <w:r w:rsidRPr="002E5315">
        <w:rPr>
          <w:rFonts w:cs="Segoe UI"/>
          <w:szCs w:val="23"/>
        </w:rPr>
        <w:t>Pravilnik o zaštiti poslovne i bankovne tajne, Visoki upravni sud RH, Poslovni broj: UsII-500/18-8 od 6. veljače 2019.</w:t>
      </w:r>
    </w:p>
    <w:p w14:paraId="1027FEEA"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Autocesta Zagreb-Macelj d.o.o.: Kartica konta za određeno razdoblje za odvjetničke i bilježničke usluge, Visoki upravni sud RH, Poslovni broj: UsII-50/19-6 od 20. ožujka 2019.</w:t>
      </w:r>
    </w:p>
    <w:p w14:paraId="696B1858" w14:textId="77777777" w:rsidR="00EE1A1F" w:rsidRPr="002E5315" w:rsidRDefault="00EE1A1F" w:rsidP="000114BF">
      <w:pPr>
        <w:numPr>
          <w:ilvl w:val="0"/>
          <w:numId w:val="8"/>
        </w:numPr>
        <w:shd w:val="clear" w:color="auto" w:fill="FFFFFF" w:themeFill="background1"/>
        <w:rPr>
          <w:rFonts w:cs="Segoe UI"/>
          <w:szCs w:val="23"/>
        </w:rPr>
      </w:pPr>
      <w:r w:rsidRPr="002E5315">
        <w:rPr>
          <w:rFonts w:cs="Segoe UI"/>
          <w:szCs w:val="23"/>
        </w:rPr>
        <w:t>Hrvatska poštanska banka d.d.: Odluka o odabiru na natječaju za arhiviranje, digitalizaciju i mikrofilmiranje podataka banke, Visoki upravni sud RH, Poslovni broj: UsII-501/18-7 od 13. ožujka 2019.</w:t>
      </w:r>
    </w:p>
    <w:p w14:paraId="4C91D0CB" w14:textId="77777777" w:rsidR="00EE1A1F" w:rsidRPr="002E5315" w:rsidRDefault="00EE1A1F" w:rsidP="00EE1A1F">
      <w:pPr>
        <w:shd w:val="clear" w:color="auto" w:fill="FFFFFF" w:themeFill="background1"/>
        <w:rPr>
          <w:rFonts w:cs="Segoe UI"/>
          <w:szCs w:val="23"/>
        </w:rPr>
      </w:pPr>
      <w:r w:rsidRPr="002E5315">
        <w:rPr>
          <w:rFonts w:cs="Segoe UI"/>
          <w:szCs w:val="23"/>
        </w:rPr>
        <w:lastRenderedPageBreak/>
        <w:t>Odluke Visokog upravnog suda RH u su javno objavljene u Tražilici odluka i mišljenja, koja je dostupna na internetskoj stranici Povjerenika na poveznici:</w:t>
      </w:r>
    </w:p>
    <w:p w14:paraId="1103DA02" w14:textId="77777777" w:rsidR="00EE1A1F" w:rsidRPr="002E5315" w:rsidRDefault="00EE1A1F" w:rsidP="00EE1A1F">
      <w:pPr>
        <w:pStyle w:val="Odlomakpopisa"/>
        <w:shd w:val="clear" w:color="auto" w:fill="FFFFFF" w:themeFill="background1"/>
        <w:ind w:left="720"/>
        <w:rPr>
          <w:rFonts w:ascii="Gill Sans MT" w:hAnsi="Gill Sans MT" w:cs="Segoe UI"/>
          <w:b/>
          <w:bCs/>
          <w:sz w:val="23"/>
          <w:szCs w:val="23"/>
        </w:rPr>
      </w:pPr>
      <w:r w:rsidRPr="002E5315">
        <w:rPr>
          <w:rFonts w:ascii="Gill Sans MT" w:hAnsi="Gill Sans MT"/>
          <w:b/>
          <w:bCs/>
          <w:sz w:val="23"/>
          <w:szCs w:val="23"/>
        </w:rPr>
        <w:t xml:space="preserve">- </w:t>
      </w:r>
      <w:hyperlink r:id="rId18" w:history="1">
        <w:r w:rsidRPr="002E5315">
          <w:rPr>
            <w:rStyle w:val="Hiperveza"/>
            <w:rFonts w:cs="Segoe UI"/>
            <w:b w:val="0"/>
            <w:bCs w:val="0"/>
            <w:szCs w:val="23"/>
          </w:rPr>
          <w:t>https://tom.pristupinfo.hr/pregledfilter1.php</w:t>
        </w:r>
      </w:hyperlink>
    </w:p>
    <w:p w14:paraId="5BCF4588" w14:textId="77777777" w:rsidR="00EE1A1F" w:rsidRPr="002E5315" w:rsidRDefault="00EE1A1F" w:rsidP="00EE1A1F">
      <w:pPr>
        <w:shd w:val="clear" w:color="auto" w:fill="FFFFFF" w:themeFill="background1"/>
        <w:rPr>
          <w:rFonts w:cs="Segoe UI"/>
          <w:szCs w:val="23"/>
        </w:rPr>
      </w:pPr>
      <w:r w:rsidRPr="002E5315">
        <w:rPr>
          <w:rFonts w:cs="Segoe UI"/>
          <w:szCs w:val="23"/>
        </w:rPr>
        <w:t>te na internetskoj stranici Visokog upravnog suda RH na poveznici:</w:t>
      </w:r>
    </w:p>
    <w:p w14:paraId="470AA1FD" w14:textId="39AB6532" w:rsidR="00B20D87" w:rsidRPr="002E5315" w:rsidRDefault="00EE1A1F" w:rsidP="00EE1A1F">
      <w:pPr>
        <w:pStyle w:val="Odlomakpopisa"/>
        <w:shd w:val="clear" w:color="auto" w:fill="FFFFFF" w:themeFill="background1"/>
        <w:spacing w:after="360"/>
        <w:ind w:left="720"/>
        <w:rPr>
          <w:rFonts w:ascii="Gill Sans MT" w:hAnsi="Gill Sans MT" w:cs="Segoe UI"/>
          <w:b/>
          <w:bCs/>
          <w:iCs/>
          <w:sz w:val="23"/>
          <w:szCs w:val="22"/>
          <w:u w:val="single"/>
        </w:rPr>
      </w:pPr>
      <w:r w:rsidRPr="002E5315">
        <w:rPr>
          <w:rFonts w:ascii="Gill Sans MT" w:hAnsi="Gill Sans MT"/>
          <w:b/>
          <w:bCs/>
          <w:sz w:val="23"/>
          <w:szCs w:val="23"/>
        </w:rPr>
        <w:t xml:space="preserve">- </w:t>
      </w:r>
      <w:hyperlink r:id="rId19" w:history="1">
        <w:r w:rsidRPr="002E5315">
          <w:rPr>
            <w:rStyle w:val="Hiperveza"/>
            <w:rFonts w:cs="Segoe UI"/>
            <w:b w:val="0"/>
            <w:bCs w:val="0"/>
            <w:szCs w:val="23"/>
          </w:rPr>
          <w:t>http://vusrh.hr/sudska-praksa/odluke-pravo-na-pristup-informacijama/</w:t>
        </w:r>
      </w:hyperlink>
    </w:p>
    <w:p w14:paraId="4E55665B" w14:textId="77777777" w:rsidR="00633D93" w:rsidRDefault="00B20D87" w:rsidP="00F635D3">
      <w:pPr>
        <w:pStyle w:val="Naslov3"/>
      </w:pPr>
      <w:bookmarkStart w:id="42" w:name="_Toc36308947"/>
      <w:r w:rsidRPr="002E5315">
        <w:t>Kretanje sudskih sporova u razdoblju 2013.-2019</w:t>
      </w:r>
      <w:r w:rsidR="00633D93">
        <w:t>.</w:t>
      </w:r>
      <w:bookmarkEnd w:id="42"/>
    </w:p>
    <w:p w14:paraId="089196BE" w14:textId="77777777" w:rsidR="00633D93" w:rsidRDefault="00C22289" w:rsidP="00C22289">
      <w:pPr>
        <w:shd w:val="clear" w:color="auto" w:fill="FFFFFF" w:themeFill="background1"/>
        <w:rPr>
          <w:rFonts w:cstheme="minorHAnsi"/>
          <w:b/>
          <w:szCs w:val="23"/>
        </w:rPr>
      </w:pPr>
      <w:r w:rsidRPr="002E5315">
        <w:rPr>
          <w:rFonts w:cstheme="minorHAnsi"/>
          <w:szCs w:val="23"/>
        </w:rPr>
        <w:t>Prema statističkim podacima u razdoblju 2013.-2019., ukupno je pokrenuto 5.428 žalbenih postupaka,</w:t>
      </w:r>
      <w:r w:rsidRPr="002E5315">
        <w:rPr>
          <w:rFonts w:cstheme="minorHAnsi"/>
          <w:color w:val="FF0000"/>
          <w:szCs w:val="23"/>
        </w:rPr>
        <w:t xml:space="preserve"> </w:t>
      </w:r>
      <w:r w:rsidRPr="002E5315">
        <w:rPr>
          <w:rFonts w:cstheme="minorHAnsi"/>
          <w:szCs w:val="23"/>
        </w:rPr>
        <w:t>a istovremeno je pokrenuto</w:t>
      </w:r>
      <w:r w:rsidRPr="002E5315">
        <w:rPr>
          <w:rFonts w:cstheme="minorHAnsi"/>
          <w:color w:val="FF0000"/>
          <w:szCs w:val="23"/>
        </w:rPr>
        <w:t xml:space="preserve"> </w:t>
      </w:r>
      <w:r w:rsidRPr="002E5315">
        <w:rPr>
          <w:rFonts w:cstheme="minorHAnsi"/>
          <w:szCs w:val="23"/>
        </w:rPr>
        <w:t>784 upravnih sporova (14,44%).</w:t>
      </w:r>
      <w:r w:rsidRPr="002E5315">
        <w:rPr>
          <w:rFonts w:cstheme="minorHAnsi"/>
          <w:color w:val="FF0000"/>
          <w:szCs w:val="23"/>
        </w:rPr>
        <w:t xml:space="preserve"> </w:t>
      </w:r>
      <w:r w:rsidRPr="002E5315">
        <w:rPr>
          <w:rFonts w:cstheme="minorHAnsi"/>
          <w:szCs w:val="23"/>
        </w:rPr>
        <w:t xml:space="preserve">Dakle, </w:t>
      </w:r>
      <w:r w:rsidRPr="002E5315">
        <w:rPr>
          <w:rFonts w:cstheme="minorHAnsi"/>
          <w:b/>
          <w:szCs w:val="23"/>
        </w:rPr>
        <w:t>u promatranom razdoblju u više od 85%</w:t>
      </w:r>
      <w:r w:rsidRPr="002E5315">
        <w:rPr>
          <w:rFonts w:cstheme="minorHAnsi"/>
          <w:b/>
          <w:color w:val="FF0000"/>
          <w:szCs w:val="23"/>
        </w:rPr>
        <w:t xml:space="preserve"> </w:t>
      </w:r>
      <w:r w:rsidRPr="002E5315">
        <w:rPr>
          <w:rFonts w:cstheme="minorHAnsi"/>
          <w:b/>
          <w:szCs w:val="23"/>
        </w:rPr>
        <w:t>slučajeva korisnici, odnosno tijela javne vlasti</w:t>
      </w:r>
      <w:r w:rsidRPr="002E5315">
        <w:rPr>
          <w:rFonts w:cstheme="minorHAnsi"/>
          <w:b/>
          <w:color w:val="FF0000"/>
          <w:szCs w:val="23"/>
        </w:rPr>
        <w:t xml:space="preserve"> </w:t>
      </w:r>
      <w:r w:rsidRPr="002E5315">
        <w:rPr>
          <w:rFonts w:cstheme="minorHAnsi"/>
          <w:b/>
          <w:szCs w:val="23"/>
        </w:rPr>
        <w:t>poštuju odluku Povjerenika i ne osporavaju je pred Visokim upravnim sudom RH</w:t>
      </w:r>
      <w:r w:rsidR="00633D93">
        <w:rPr>
          <w:rFonts w:cstheme="minorHAnsi"/>
          <w:b/>
          <w:szCs w:val="23"/>
        </w:rPr>
        <w:t>.</w:t>
      </w:r>
    </w:p>
    <w:p w14:paraId="047ADF02" w14:textId="3D44843B" w:rsidR="00B20D87" w:rsidRPr="002E5315" w:rsidRDefault="00C22289" w:rsidP="00C22289">
      <w:pPr>
        <w:shd w:val="clear" w:color="auto" w:fill="FFFFFF" w:themeFill="background1"/>
        <w:rPr>
          <w:rFonts w:cstheme="minorHAnsi"/>
          <w:szCs w:val="23"/>
          <w:shd w:val="clear" w:color="auto" w:fill="FFFF00"/>
        </w:rPr>
      </w:pPr>
      <w:r w:rsidRPr="002E5315">
        <w:rPr>
          <w:rFonts w:cstheme="minorHAnsi"/>
          <w:szCs w:val="23"/>
        </w:rPr>
        <w:t>Kad se razmotri ukupan broj upravnih sporova pokrenutih u razdoblju 2013.-2019. (Tablica 3.12.), vidljivo je da je za razliku od prethodnih godina, kad se broj upravnih sporova u pravilu kretao između 29 i 40, u 2017. došlo do značajnog porasta upravnih sporova na 175, a u 2018. je taj broj porastao na 300, dok je u 2019. smanjen na 177 odnosno manji je za 41% u odnosu na prethodnu godinu</w:t>
      </w:r>
      <w:r w:rsidR="00B20D87" w:rsidRPr="002E5315">
        <w:rPr>
          <w:rFonts w:cstheme="minorHAnsi"/>
          <w:szCs w:val="23"/>
        </w:rPr>
        <w:t>.</w:t>
      </w:r>
    </w:p>
    <w:p w14:paraId="78C9F1E4" w14:textId="47A19B9A" w:rsidR="00B20D87" w:rsidRPr="002E5315" w:rsidRDefault="00B20D87" w:rsidP="00B20D87">
      <w:pPr>
        <w:pStyle w:val="Bezproreda"/>
        <w:keepNext/>
        <w:spacing w:before="240" w:after="120" w:line="276" w:lineRule="auto"/>
        <w:jc w:val="both"/>
        <w:rPr>
          <w:rFonts w:ascii="Gill Sans MT" w:hAnsi="Gill Sans MT" w:cs="Segoe UI"/>
          <w:sz w:val="20"/>
          <w:szCs w:val="20"/>
          <w:lang w:eastAsia="hr-HR"/>
        </w:rPr>
      </w:pPr>
      <w:r w:rsidRPr="002E5315">
        <w:rPr>
          <w:rFonts w:ascii="Gill Sans MT" w:hAnsi="Gill Sans MT" w:cs="Segoe UI"/>
          <w:sz w:val="20"/>
          <w:szCs w:val="20"/>
          <w:lang w:eastAsia="hr-HR"/>
        </w:rPr>
        <w:t xml:space="preserve">Tablica </w:t>
      </w:r>
      <w:r w:rsidR="00E42F27" w:rsidRPr="002E5315">
        <w:rPr>
          <w:rFonts w:ascii="Gill Sans MT" w:hAnsi="Gill Sans MT" w:cs="Segoe UI"/>
          <w:sz w:val="20"/>
          <w:szCs w:val="20"/>
          <w:lang w:eastAsia="hr-HR"/>
        </w:rPr>
        <w:t>3</w:t>
      </w:r>
      <w:r w:rsidRPr="002E5315">
        <w:rPr>
          <w:rFonts w:ascii="Gill Sans MT" w:hAnsi="Gill Sans MT" w:cs="Segoe UI"/>
          <w:sz w:val="20"/>
          <w:szCs w:val="20"/>
          <w:lang w:eastAsia="hr-HR"/>
        </w:rPr>
        <w:t>.1</w:t>
      </w:r>
      <w:r w:rsidR="00E42F27" w:rsidRPr="002E5315">
        <w:rPr>
          <w:rFonts w:ascii="Gill Sans MT" w:hAnsi="Gill Sans MT" w:cs="Segoe UI"/>
          <w:sz w:val="20"/>
          <w:szCs w:val="20"/>
          <w:lang w:eastAsia="hr-HR"/>
        </w:rPr>
        <w:t>2</w:t>
      </w:r>
      <w:r w:rsidRPr="002E5315">
        <w:rPr>
          <w:rFonts w:ascii="Gill Sans MT" w:hAnsi="Gill Sans MT" w:cs="Segoe UI"/>
          <w:sz w:val="20"/>
          <w:szCs w:val="20"/>
          <w:lang w:eastAsia="hr-HR"/>
        </w:rPr>
        <w:t>. Odnos žalbenih postupaka i upravnih sporova 2013-2019.</w:t>
      </w:r>
    </w:p>
    <w:tbl>
      <w:tblPr>
        <w:tblW w:w="9037" w:type="dxa"/>
        <w:jc w:val="center"/>
        <w:tblBorders>
          <w:top w:val="single" w:sz="8" w:space="0" w:color="4F81BD"/>
          <w:bottom w:val="single" w:sz="8" w:space="0" w:color="4F81BD"/>
        </w:tblBorders>
        <w:tblLayout w:type="fixed"/>
        <w:tblLook w:val="04A0" w:firstRow="1" w:lastRow="0" w:firstColumn="1" w:lastColumn="0" w:noHBand="0" w:noVBand="1"/>
      </w:tblPr>
      <w:tblGrid>
        <w:gridCol w:w="1099"/>
        <w:gridCol w:w="1294"/>
        <w:gridCol w:w="833"/>
        <w:gridCol w:w="1398"/>
        <w:gridCol w:w="1276"/>
        <w:gridCol w:w="1055"/>
        <w:gridCol w:w="1276"/>
        <w:gridCol w:w="806"/>
      </w:tblGrid>
      <w:tr w:rsidR="00B20D87" w:rsidRPr="002E5315" w14:paraId="12E7B612" w14:textId="77777777" w:rsidTr="007C569F">
        <w:trPr>
          <w:trHeight w:val="264"/>
          <w:jc w:val="center"/>
        </w:trPr>
        <w:tc>
          <w:tcPr>
            <w:tcW w:w="1099" w:type="dxa"/>
            <w:tcBorders>
              <w:top w:val="single" w:sz="8" w:space="0" w:color="4F81BD"/>
              <w:left w:val="nil"/>
              <w:bottom w:val="single" w:sz="8" w:space="0" w:color="4F81BD"/>
              <w:right w:val="nil"/>
            </w:tcBorders>
            <w:noWrap/>
            <w:vAlign w:val="center"/>
            <w:hideMark/>
          </w:tcPr>
          <w:p w14:paraId="7651B16F"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Godina</w:t>
            </w:r>
          </w:p>
        </w:tc>
        <w:tc>
          <w:tcPr>
            <w:tcW w:w="1294" w:type="dxa"/>
            <w:tcBorders>
              <w:top w:val="single" w:sz="8" w:space="0" w:color="4F81BD"/>
              <w:left w:val="nil"/>
              <w:bottom w:val="single" w:sz="8" w:space="0" w:color="4F81BD"/>
              <w:right w:val="nil"/>
            </w:tcBorders>
            <w:vAlign w:val="center"/>
          </w:tcPr>
          <w:p w14:paraId="3710E809" w14:textId="77777777" w:rsidR="00B20D87" w:rsidRPr="002E5315" w:rsidRDefault="00B20D87" w:rsidP="00E42F27">
            <w:pPr>
              <w:ind w:left="-96" w:firstLine="96"/>
              <w:jc w:val="center"/>
              <w:rPr>
                <w:rFonts w:cs="Arial"/>
                <w:b/>
                <w:bCs/>
                <w:i/>
                <w:sz w:val="20"/>
                <w:szCs w:val="20"/>
                <w:lang w:eastAsia="zh-CN"/>
              </w:rPr>
            </w:pPr>
            <w:r w:rsidRPr="002E5315">
              <w:rPr>
                <w:rFonts w:cs="Arial"/>
                <w:b/>
                <w:bCs/>
                <w:i/>
                <w:sz w:val="20"/>
                <w:szCs w:val="20"/>
                <w:lang w:eastAsia="zh-CN"/>
              </w:rPr>
              <w:t>Žalbe (podneseno)</w:t>
            </w:r>
          </w:p>
        </w:tc>
        <w:tc>
          <w:tcPr>
            <w:tcW w:w="833" w:type="dxa"/>
            <w:tcBorders>
              <w:top w:val="single" w:sz="8" w:space="0" w:color="4F81BD"/>
              <w:left w:val="nil"/>
              <w:bottom w:val="single" w:sz="8" w:space="0" w:color="4F81BD"/>
              <w:right w:val="nil"/>
            </w:tcBorders>
            <w:noWrap/>
            <w:vAlign w:val="center"/>
            <w:hideMark/>
          </w:tcPr>
          <w:p w14:paraId="1EA26CBA"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Tužbe</w:t>
            </w:r>
          </w:p>
        </w:tc>
        <w:tc>
          <w:tcPr>
            <w:tcW w:w="1398" w:type="dxa"/>
            <w:tcBorders>
              <w:top w:val="single" w:sz="8" w:space="0" w:color="4F81BD"/>
              <w:left w:val="nil"/>
              <w:bottom w:val="single" w:sz="8" w:space="0" w:color="4F81BD"/>
              <w:right w:val="nil"/>
            </w:tcBorders>
            <w:vAlign w:val="center"/>
          </w:tcPr>
          <w:p w14:paraId="5831CBAC"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Odnos broja podnesenih žalbi i broja tužbi</w:t>
            </w:r>
          </w:p>
        </w:tc>
        <w:tc>
          <w:tcPr>
            <w:tcW w:w="1276" w:type="dxa"/>
            <w:tcBorders>
              <w:top w:val="single" w:sz="8" w:space="0" w:color="4F81BD"/>
              <w:left w:val="nil"/>
              <w:bottom w:val="single" w:sz="8" w:space="0" w:color="4F81BD"/>
              <w:right w:val="nil"/>
            </w:tcBorders>
            <w:vAlign w:val="center"/>
          </w:tcPr>
          <w:p w14:paraId="095F76DB"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Udio tužbi</w:t>
            </w:r>
          </w:p>
          <w:p w14:paraId="2E5F5C38"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u postupcima</w:t>
            </w:r>
          </w:p>
          <w:p w14:paraId="1B618DB6"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w:t>
            </w:r>
          </w:p>
        </w:tc>
        <w:tc>
          <w:tcPr>
            <w:tcW w:w="1055" w:type="dxa"/>
            <w:tcBorders>
              <w:top w:val="single" w:sz="8" w:space="0" w:color="4F81BD"/>
              <w:left w:val="nil"/>
              <w:bottom w:val="single" w:sz="8" w:space="0" w:color="4F81BD"/>
              <w:right w:val="nil"/>
            </w:tcBorders>
            <w:vAlign w:val="center"/>
          </w:tcPr>
          <w:p w14:paraId="08864FE5"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Žalbe</w:t>
            </w:r>
          </w:p>
          <w:p w14:paraId="23B3B054"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(riješeno)</w:t>
            </w:r>
          </w:p>
        </w:tc>
        <w:tc>
          <w:tcPr>
            <w:tcW w:w="1276" w:type="dxa"/>
            <w:tcBorders>
              <w:top w:val="single" w:sz="8" w:space="0" w:color="4F81BD"/>
              <w:left w:val="nil"/>
              <w:bottom w:val="single" w:sz="8" w:space="0" w:color="4F81BD"/>
              <w:right w:val="nil"/>
            </w:tcBorders>
            <w:vAlign w:val="center"/>
          </w:tcPr>
          <w:p w14:paraId="3F803978"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Odnos broja riješenih žalbi i broja tužbi</w:t>
            </w:r>
          </w:p>
        </w:tc>
        <w:tc>
          <w:tcPr>
            <w:tcW w:w="806" w:type="dxa"/>
            <w:tcBorders>
              <w:top w:val="single" w:sz="8" w:space="0" w:color="4F81BD"/>
              <w:left w:val="nil"/>
              <w:bottom w:val="single" w:sz="8" w:space="0" w:color="4F81BD"/>
              <w:right w:val="nil"/>
            </w:tcBorders>
            <w:vAlign w:val="center"/>
          </w:tcPr>
          <w:p w14:paraId="352977DA" w14:textId="77777777" w:rsidR="00B20D87" w:rsidRPr="002E5315" w:rsidRDefault="00B20D87" w:rsidP="007C569F">
            <w:pPr>
              <w:jc w:val="center"/>
              <w:rPr>
                <w:rFonts w:cs="Arial"/>
                <w:b/>
                <w:bCs/>
                <w:i/>
                <w:sz w:val="20"/>
                <w:szCs w:val="20"/>
                <w:lang w:eastAsia="zh-CN"/>
              </w:rPr>
            </w:pPr>
            <w:r w:rsidRPr="002E5315">
              <w:rPr>
                <w:rFonts w:cs="Arial"/>
                <w:b/>
                <w:bCs/>
                <w:i/>
                <w:sz w:val="20"/>
                <w:szCs w:val="20"/>
                <w:lang w:eastAsia="zh-CN"/>
              </w:rPr>
              <w:t>Udio tužbi (%)</w:t>
            </w:r>
          </w:p>
        </w:tc>
      </w:tr>
      <w:tr w:rsidR="00B20D87" w:rsidRPr="002E5315" w14:paraId="72A478BF" w14:textId="77777777" w:rsidTr="007C569F">
        <w:trPr>
          <w:trHeight w:val="264"/>
          <w:jc w:val="center"/>
        </w:trPr>
        <w:tc>
          <w:tcPr>
            <w:tcW w:w="1099" w:type="dxa"/>
            <w:noWrap/>
            <w:vAlign w:val="center"/>
            <w:hideMark/>
          </w:tcPr>
          <w:p w14:paraId="5E409C24" w14:textId="77777777" w:rsidR="00B20D87" w:rsidRPr="002E5315" w:rsidRDefault="00B20D87" w:rsidP="007C569F">
            <w:pPr>
              <w:jc w:val="center"/>
              <w:rPr>
                <w:rFonts w:cs="Arial"/>
                <w:b/>
                <w:bCs/>
                <w:sz w:val="20"/>
                <w:szCs w:val="20"/>
                <w:lang w:eastAsia="zh-CN"/>
              </w:rPr>
            </w:pPr>
            <w:r w:rsidRPr="002E5315">
              <w:rPr>
                <w:rFonts w:cs="Arial"/>
                <w:b/>
                <w:bCs/>
                <w:sz w:val="20"/>
                <w:szCs w:val="20"/>
                <w:lang w:eastAsia="zh-CN"/>
              </w:rPr>
              <w:t>2013.</w:t>
            </w:r>
          </w:p>
        </w:tc>
        <w:tc>
          <w:tcPr>
            <w:tcW w:w="1294" w:type="dxa"/>
            <w:vAlign w:val="center"/>
          </w:tcPr>
          <w:p w14:paraId="6FB2F57B" w14:textId="77777777" w:rsidR="00B20D87" w:rsidRPr="002E5315" w:rsidRDefault="00B20D87" w:rsidP="007C569F">
            <w:pPr>
              <w:jc w:val="center"/>
              <w:rPr>
                <w:rFonts w:cs="Arial"/>
                <w:sz w:val="20"/>
                <w:szCs w:val="20"/>
                <w:lang w:eastAsia="zh-CN"/>
              </w:rPr>
            </w:pPr>
            <w:r w:rsidRPr="002E5315">
              <w:rPr>
                <w:rFonts w:cs="Arial"/>
                <w:sz w:val="20"/>
                <w:szCs w:val="20"/>
                <w:lang w:eastAsia="zh-CN"/>
              </w:rPr>
              <w:t>515</w:t>
            </w:r>
          </w:p>
        </w:tc>
        <w:tc>
          <w:tcPr>
            <w:tcW w:w="833" w:type="dxa"/>
            <w:noWrap/>
            <w:vAlign w:val="center"/>
            <w:hideMark/>
          </w:tcPr>
          <w:p w14:paraId="3F8058CF" w14:textId="77777777" w:rsidR="00B20D87" w:rsidRPr="002E5315" w:rsidRDefault="00B20D87" w:rsidP="007C569F">
            <w:pPr>
              <w:jc w:val="center"/>
              <w:rPr>
                <w:rFonts w:cs="Arial"/>
                <w:sz w:val="20"/>
                <w:szCs w:val="20"/>
                <w:lang w:eastAsia="zh-CN"/>
              </w:rPr>
            </w:pPr>
            <w:r w:rsidRPr="002E5315">
              <w:rPr>
                <w:rFonts w:cs="Arial"/>
                <w:sz w:val="20"/>
                <w:szCs w:val="20"/>
                <w:lang w:eastAsia="zh-CN"/>
              </w:rPr>
              <w:t>29</w:t>
            </w:r>
          </w:p>
        </w:tc>
        <w:tc>
          <w:tcPr>
            <w:tcW w:w="1398" w:type="dxa"/>
            <w:vAlign w:val="center"/>
          </w:tcPr>
          <w:p w14:paraId="39DBD10B" w14:textId="77777777" w:rsidR="00B20D87" w:rsidRPr="002E5315" w:rsidRDefault="00B20D87" w:rsidP="00754B2D">
            <w:pPr>
              <w:jc w:val="center"/>
              <w:rPr>
                <w:rFonts w:cs="Arial"/>
                <w:sz w:val="20"/>
                <w:szCs w:val="20"/>
                <w:lang w:eastAsia="zh-CN"/>
              </w:rPr>
            </w:pPr>
            <w:r w:rsidRPr="002E5315">
              <w:rPr>
                <w:rFonts w:cs="Arial"/>
                <w:sz w:val="20"/>
                <w:szCs w:val="20"/>
                <w:lang w:eastAsia="zh-CN"/>
              </w:rPr>
              <w:t>17,76</w:t>
            </w:r>
          </w:p>
        </w:tc>
        <w:tc>
          <w:tcPr>
            <w:tcW w:w="1276" w:type="dxa"/>
            <w:vAlign w:val="center"/>
          </w:tcPr>
          <w:p w14:paraId="40EF76A7" w14:textId="77777777" w:rsidR="00B20D87" w:rsidRPr="002E5315" w:rsidRDefault="00B20D87" w:rsidP="00754B2D">
            <w:pPr>
              <w:jc w:val="center"/>
              <w:rPr>
                <w:rFonts w:cs="Arial"/>
                <w:sz w:val="20"/>
                <w:szCs w:val="20"/>
                <w:lang w:eastAsia="zh-CN"/>
              </w:rPr>
            </w:pPr>
            <w:r w:rsidRPr="002E5315">
              <w:rPr>
                <w:rFonts w:cs="Arial"/>
                <w:sz w:val="20"/>
                <w:szCs w:val="20"/>
                <w:lang w:eastAsia="zh-CN"/>
              </w:rPr>
              <w:t>5,63</w:t>
            </w:r>
          </w:p>
        </w:tc>
        <w:tc>
          <w:tcPr>
            <w:tcW w:w="1055" w:type="dxa"/>
            <w:vAlign w:val="center"/>
          </w:tcPr>
          <w:p w14:paraId="3DA7AE79" w14:textId="77777777" w:rsidR="00B20D87" w:rsidRPr="002E5315" w:rsidRDefault="00B20D87" w:rsidP="00754B2D">
            <w:pPr>
              <w:jc w:val="center"/>
              <w:rPr>
                <w:rFonts w:cs="Arial"/>
                <w:sz w:val="20"/>
                <w:szCs w:val="20"/>
                <w:lang w:eastAsia="zh-CN"/>
              </w:rPr>
            </w:pPr>
            <w:r w:rsidRPr="002E5315">
              <w:rPr>
                <w:rFonts w:cs="Arial"/>
                <w:sz w:val="20"/>
                <w:szCs w:val="20"/>
                <w:lang w:eastAsia="zh-CN"/>
              </w:rPr>
              <w:t>495</w:t>
            </w:r>
          </w:p>
        </w:tc>
        <w:tc>
          <w:tcPr>
            <w:tcW w:w="1276" w:type="dxa"/>
            <w:vAlign w:val="center"/>
          </w:tcPr>
          <w:p w14:paraId="64DD2E92" w14:textId="77777777" w:rsidR="00B20D87" w:rsidRPr="002E5315" w:rsidRDefault="00B20D87" w:rsidP="00754B2D">
            <w:pPr>
              <w:jc w:val="center"/>
              <w:rPr>
                <w:rFonts w:cs="Arial"/>
                <w:sz w:val="20"/>
                <w:szCs w:val="20"/>
                <w:lang w:eastAsia="zh-CN"/>
              </w:rPr>
            </w:pPr>
            <w:r w:rsidRPr="002E5315">
              <w:rPr>
                <w:rFonts w:cs="Arial"/>
                <w:sz w:val="20"/>
                <w:szCs w:val="20"/>
                <w:lang w:eastAsia="zh-CN"/>
              </w:rPr>
              <w:t>17,01</w:t>
            </w:r>
          </w:p>
        </w:tc>
        <w:tc>
          <w:tcPr>
            <w:tcW w:w="806" w:type="dxa"/>
            <w:vAlign w:val="center"/>
          </w:tcPr>
          <w:p w14:paraId="14509658" w14:textId="77777777" w:rsidR="00B20D87" w:rsidRPr="002E5315" w:rsidRDefault="00B20D87" w:rsidP="00754B2D">
            <w:pPr>
              <w:jc w:val="center"/>
              <w:rPr>
                <w:rFonts w:cs="Arial"/>
                <w:sz w:val="20"/>
                <w:szCs w:val="20"/>
                <w:lang w:eastAsia="zh-CN"/>
              </w:rPr>
            </w:pPr>
            <w:r w:rsidRPr="002E5315">
              <w:rPr>
                <w:rFonts w:cs="Arial"/>
                <w:sz w:val="20"/>
                <w:szCs w:val="20"/>
                <w:lang w:eastAsia="zh-CN"/>
              </w:rPr>
              <w:t>5,86</w:t>
            </w:r>
          </w:p>
        </w:tc>
      </w:tr>
      <w:tr w:rsidR="00B20D87" w:rsidRPr="002E5315" w14:paraId="4B570E56" w14:textId="77777777" w:rsidTr="002178F4">
        <w:trPr>
          <w:trHeight w:val="264"/>
          <w:jc w:val="center"/>
        </w:trPr>
        <w:tc>
          <w:tcPr>
            <w:tcW w:w="1099" w:type="dxa"/>
            <w:tcBorders>
              <w:left w:val="nil"/>
              <w:right w:val="nil"/>
            </w:tcBorders>
            <w:shd w:val="clear" w:color="auto" w:fill="D9E2F3" w:themeFill="accent1" w:themeFillTint="33"/>
            <w:noWrap/>
            <w:vAlign w:val="center"/>
            <w:hideMark/>
          </w:tcPr>
          <w:p w14:paraId="2AB91BDE" w14:textId="77777777" w:rsidR="00B20D87" w:rsidRPr="002E5315" w:rsidRDefault="00B20D87" w:rsidP="007C569F">
            <w:pPr>
              <w:jc w:val="center"/>
              <w:rPr>
                <w:rFonts w:cs="Arial"/>
                <w:b/>
                <w:bCs/>
                <w:sz w:val="20"/>
                <w:szCs w:val="20"/>
                <w:lang w:eastAsia="zh-CN"/>
              </w:rPr>
            </w:pPr>
            <w:r w:rsidRPr="002E5315">
              <w:rPr>
                <w:rFonts w:cs="Arial"/>
                <w:b/>
                <w:bCs/>
                <w:sz w:val="20"/>
                <w:szCs w:val="20"/>
                <w:lang w:eastAsia="zh-CN"/>
              </w:rPr>
              <w:t>2014.</w:t>
            </w:r>
          </w:p>
        </w:tc>
        <w:tc>
          <w:tcPr>
            <w:tcW w:w="1294" w:type="dxa"/>
            <w:tcBorders>
              <w:left w:val="nil"/>
              <w:right w:val="nil"/>
            </w:tcBorders>
            <w:shd w:val="clear" w:color="auto" w:fill="D9E2F3" w:themeFill="accent1" w:themeFillTint="33"/>
            <w:vAlign w:val="center"/>
          </w:tcPr>
          <w:p w14:paraId="1A6EDD75" w14:textId="77777777" w:rsidR="00B20D87" w:rsidRPr="002E5315" w:rsidRDefault="00B20D87" w:rsidP="007C569F">
            <w:pPr>
              <w:jc w:val="center"/>
              <w:rPr>
                <w:rFonts w:cs="Arial"/>
                <w:sz w:val="20"/>
                <w:szCs w:val="20"/>
                <w:lang w:eastAsia="zh-CN"/>
              </w:rPr>
            </w:pPr>
            <w:r w:rsidRPr="002E5315">
              <w:rPr>
                <w:rFonts w:cs="Arial"/>
                <w:sz w:val="20"/>
                <w:szCs w:val="20"/>
                <w:lang w:eastAsia="zh-CN"/>
              </w:rPr>
              <w:t>658</w:t>
            </w:r>
          </w:p>
        </w:tc>
        <w:tc>
          <w:tcPr>
            <w:tcW w:w="833" w:type="dxa"/>
            <w:tcBorders>
              <w:left w:val="nil"/>
              <w:right w:val="nil"/>
            </w:tcBorders>
            <w:shd w:val="clear" w:color="auto" w:fill="D9E2F3" w:themeFill="accent1" w:themeFillTint="33"/>
            <w:noWrap/>
            <w:vAlign w:val="center"/>
            <w:hideMark/>
          </w:tcPr>
          <w:p w14:paraId="2A3281C2" w14:textId="77777777" w:rsidR="00B20D87" w:rsidRPr="002E5315" w:rsidRDefault="00B20D87" w:rsidP="007C569F">
            <w:pPr>
              <w:jc w:val="center"/>
              <w:rPr>
                <w:rFonts w:cs="Arial"/>
                <w:sz w:val="20"/>
                <w:szCs w:val="20"/>
                <w:lang w:eastAsia="zh-CN"/>
              </w:rPr>
            </w:pPr>
            <w:r w:rsidRPr="002E5315">
              <w:rPr>
                <w:rFonts w:cs="Arial"/>
                <w:sz w:val="20"/>
                <w:szCs w:val="20"/>
                <w:lang w:eastAsia="zh-CN"/>
              </w:rPr>
              <w:t>40</w:t>
            </w:r>
          </w:p>
        </w:tc>
        <w:tc>
          <w:tcPr>
            <w:tcW w:w="1398" w:type="dxa"/>
            <w:tcBorders>
              <w:left w:val="nil"/>
              <w:right w:val="nil"/>
            </w:tcBorders>
            <w:shd w:val="clear" w:color="auto" w:fill="D9E2F3" w:themeFill="accent1" w:themeFillTint="33"/>
            <w:vAlign w:val="center"/>
          </w:tcPr>
          <w:p w14:paraId="6EA8C86A" w14:textId="77777777" w:rsidR="00B20D87" w:rsidRPr="002E5315" w:rsidRDefault="00B20D87" w:rsidP="00754B2D">
            <w:pPr>
              <w:jc w:val="center"/>
              <w:rPr>
                <w:rFonts w:cs="Arial"/>
                <w:sz w:val="20"/>
                <w:szCs w:val="20"/>
                <w:lang w:eastAsia="zh-CN"/>
              </w:rPr>
            </w:pPr>
            <w:r w:rsidRPr="002E5315">
              <w:rPr>
                <w:rFonts w:cs="Arial"/>
                <w:sz w:val="20"/>
                <w:szCs w:val="20"/>
                <w:lang w:eastAsia="zh-CN"/>
              </w:rPr>
              <w:t>16,45</w:t>
            </w:r>
          </w:p>
        </w:tc>
        <w:tc>
          <w:tcPr>
            <w:tcW w:w="1276" w:type="dxa"/>
            <w:tcBorders>
              <w:left w:val="nil"/>
              <w:right w:val="nil"/>
            </w:tcBorders>
            <w:shd w:val="clear" w:color="auto" w:fill="D9E2F3" w:themeFill="accent1" w:themeFillTint="33"/>
            <w:vAlign w:val="center"/>
          </w:tcPr>
          <w:p w14:paraId="5C1D7BA6" w14:textId="77777777" w:rsidR="00B20D87" w:rsidRPr="002E5315" w:rsidRDefault="00B20D87" w:rsidP="00754B2D">
            <w:pPr>
              <w:jc w:val="center"/>
              <w:rPr>
                <w:rFonts w:cs="Arial"/>
                <w:sz w:val="20"/>
                <w:szCs w:val="20"/>
                <w:lang w:eastAsia="zh-CN"/>
              </w:rPr>
            </w:pPr>
            <w:r w:rsidRPr="002E5315">
              <w:rPr>
                <w:rFonts w:cs="Arial"/>
                <w:sz w:val="20"/>
                <w:szCs w:val="20"/>
                <w:lang w:eastAsia="zh-CN"/>
              </w:rPr>
              <w:t>6,08</w:t>
            </w:r>
          </w:p>
        </w:tc>
        <w:tc>
          <w:tcPr>
            <w:tcW w:w="1055" w:type="dxa"/>
            <w:tcBorders>
              <w:left w:val="nil"/>
              <w:right w:val="nil"/>
            </w:tcBorders>
            <w:shd w:val="clear" w:color="auto" w:fill="D9E2F3" w:themeFill="accent1" w:themeFillTint="33"/>
            <w:vAlign w:val="center"/>
          </w:tcPr>
          <w:p w14:paraId="721D73EE" w14:textId="77777777" w:rsidR="00B20D87" w:rsidRPr="002E5315" w:rsidRDefault="00B20D87" w:rsidP="00754B2D">
            <w:pPr>
              <w:jc w:val="center"/>
              <w:rPr>
                <w:rFonts w:cs="Arial"/>
                <w:sz w:val="20"/>
                <w:szCs w:val="20"/>
                <w:lang w:eastAsia="zh-CN"/>
              </w:rPr>
            </w:pPr>
            <w:r w:rsidRPr="002E5315">
              <w:rPr>
                <w:rFonts w:cs="Arial"/>
                <w:sz w:val="20"/>
                <w:szCs w:val="20"/>
                <w:lang w:eastAsia="zh-CN"/>
              </w:rPr>
              <w:t>523</w:t>
            </w:r>
          </w:p>
        </w:tc>
        <w:tc>
          <w:tcPr>
            <w:tcW w:w="1276" w:type="dxa"/>
            <w:tcBorders>
              <w:left w:val="nil"/>
              <w:right w:val="nil"/>
            </w:tcBorders>
            <w:shd w:val="clear" w:color="auto" w:fill="D9E2F3" w:themeFill="accent1" w:themeFillTint="33"/>
            <w:vAlign w:val="center"/>
          </w:tcPr>
          <w:p w14:paraId="6EF56F7D" w14:textId="77777777" w:rsidR="00B20D87" w:rsidRPr="002E5315" w:rsidRDefault="00B20D87" w:rsidP="00754B2D">
            <w:pPr>
              <w:jc w:val="center"/>
              <w:rPr>
                <w:rFonts w:cs="Arial"/>
                <w:sz w:val="20"/>
                <w:szCs w:val="20"/>
                <w:lang w:eastAsia="zh-CN"/>
              </w:rPr>
            </w:pPr>
            <w:r w:rsidRPr="002E5315">
              <w:rPr>
                <w:rFonts w:cs="Arial"/>
                <w:sz w:val="20"/>
                <w:szCs w:val="20"/>
                <w:lang w:eastAsia="zh-CN"/>
              </w:rPr>
              <w:t>13,06</w:t>
            </w:r>
          </w:p>
        </w:tc>
        <w:tc>
          <w:tcPr>
            <w:tcW w:w="806" w:type="dxa"/>
            <w:tcBorders>
              <w:left w:val="nil"/>
              <w:right w:val="nil"/>
            </w:tcBorders>
            <w:shd w:val="clear" w:color="auto" w:fill="D9E2F3" w:themeFill="accent1" w:themeFillTint="33"/>
            <w:vAlign w:val="center"/>
          </w:tcPr>
          <w:p w14:paraId="58C2FC54" w14:textId="77777777" w:rsidR="00B20D87" w:rsidRPr="002E5315" w:rsidRDefault="00B20D87" w:rsidP="00754B2D">
            <w:pPr>
              <w:jc w:val="center"/>
              <w:rPr>
                <w:rFonts w:cs="Arial"/>
                <w:sz w:val="20"/>
                <w:szCs w:val="20"/>
                <w:lang w:eastAsia="zh-CN"/>
              </w:rPr>
            </w:pPr>
            <w:r w:rsidRPr="002E5315">
              <w:rPr>
                <w:rFonts w:cs="Arial"/>
                <w:sz w:val="20"/>
                <w:szCs w:val="20"/>
                <w:lang w:eastAsia="zh-CN"/>
              </w:rPr>
              <w:t>7,65</w:t>
            </w:r>
          </w:p>
        </w:tc>
      </w:tr>
      <w:tr w:rsidR="00B20D87" w:rsidRPr="002E5315" w14:paraId="08ECB11A" w14:textId="77777777" w:rsidTr="007C569F">
        <w:trPr>
          <w:trHeight w:val="264"/>
          <w:jc w:val="center"/>
        </w:trPr>
        <w:tc>
          <w:tcPr>
            <w:tcW w:w="1099" w:type="dxa"/>
            <w:noWrap/>
            <w:vAlign w:val="center"/>
            <w:hideMark/>
          </w:tcPr>
          <w:p w14:paraId="65CDE1B1" w14:textId="77777777" w:rsidR="00B20D87" w:rsidRPr="002E5315" w:rsidRDefault="00B20D87" w:rsidP="007C569F">
            <w:pPr>
              <w:jc w:val="center"/>
              <w:rPr>
                <w:rFonts w:cs="Arial"/>
                <w:b/>
                <w:bCs/>
                <w:sz w:val="20"/>
                <w:szCs w:val="20"/>
                <w:lang w:eastAsia="zh-CN"/>
              </w:rPr>
            </w:pPr>
            <w:r w:rsidRPr="002E5315">
              <w:rPr>
                <w:rFonts w:cs="Arial"/>
                <w:b/>
                <w:bCs/>
                <w:sz w:val="20"/>
                <w:szCs w:val="20"/>
                <w:lang w:eastAsia="zh-CN"/>
              </w:rPr>
              <w:t>2015.</w:t>
            </w:r>
          </w:p>
        </w:tc>
        <w:tc>
          <w:tcPr>
            <w:tcW w:w="1294" w:type="dxa"/>
            <w:vAlign w:val="center"/>
          </w:tcPr>
          <w:p w14:paraId="26582516" w14:textId="77777777" w:rsidR="00B20D87" w:rsidRPr="002E5315" w:rsidRDefault="00B20D87" w:rsidP="007C569F">
            <w:pPr>
              <w:jc w:val="center"/>
              <w:rPr>
                <w:rFonts w:cs="Arial"/>
                <w:sz w:val="20"/>
                <w:szCs w:val="20"/>
                <w:lang w:eastAsia="zh-CN"/>
              </w:rPr>
            </w:pPr>
            <w:r w:rsidRPr="002E5315">
              <w:rPr>
                <w:rFonts w:cs="Arial"/>
                <w:sz w:val="20"/>
                <w:szCs w:val="20"/>
                <w:lang w:eastAsia="zh-CN"/>
              </w:rPr>
              <w:t>624</w:t>
            </w:r>
          </w:p>
        </w:tc>
        <w:tc>
          <w:tcPr>
            <w:tcW w:w="833" w:type="dxa"/>
            <w:noWrap/>
            <w:vAlign w:val="center"/>
            <w:hideMark/>
          </w:tcPr>
          <w:p w14:paraId="1E93720B" w14:textId="77777777" w:rsidR="00B20D87" w:rsidRPr="002E5315" w:rsidRDefault="00B20D87" w:rsidP="007C569F">
            <w:pPr>
              <w:jc w:val="center"/>
              <w:rPr>
                <w:rFonts w:cs="Arial"/>
                <w:sz w:val="20"/>
                <w:szCs w:val="20"/>
                <w:lang w:eastAsia="zh-CN"/>
              </w:rPr>
            </w:pPr>
            <w:r w:rsidRPr="002E5315">
              <w:rPr>
                <w:rFonts w:cs="Arial"/>
                <w:sz w:val="20"/>
                <w:szCs w:val="20"/>
                <w:lang w:eastAsia="zh-CN"/>
              </w:rPr>
              <w:t>29</w:t>
            </w:r>
          </w:p>
        </w:tc>
        <w:tc>
          <w:tcPr>
            <w:tcW w:w="1398" w:type="dxa"/>
            <w:vAlign w:val="center"/>
          </w:tcPr>
          <w:p w14:paraId="198ADA8D" w14:textId="77777777" w:rsidR="00B20D87" w:rsidRPr="002E5315" w:rsidRDefault="00B20D87" w:rsidP="00754B2D">
            <w:pPr>
              <w:jc w:val="center"/>
              <w:rPr>
                <w:rFonts w:cs="Arial"/>
                <w:sz w:val="20"/>
                <w:szCs w:val="20"/>
                <w:lang w:eastAsia="zh-CN"/>
              </w:rPr>
            </w:pPr>
            <w:r w:rsidRPr="002E5315">
              <w:rPr>
                <w:rFonts w:cs="Arial"/>
                <w:sz w:val="20"/>
                <w:szCs w:val="20"/>
                <w:lang w:eastAsia="zh-CN"/>
              </w:rPr>
              <w:t>21,52</w:t>
            </w:r>
          </w:p>
        </w:tc>
        <w:tc>
          <w:tcPr>
            <w:tcW w:w="1276" w:type="dxa"/>
            <w:vAlign w:val="center"/>
          </w:tcPr>
          <w:p w14:paraId="7EEF22CB" w14:textId="77777777" w:rsidR="00B20D87" w:rsidRPr="002E5315" w:rsidRDefault="00B20D87" w:rsidP="00754B2D">
            <w:pPr>
              <w:jc w:val="center"/>
              <w:rPr>
                <w:rFonts w:cs="Arial"/>
                <w:sz w:val="20"/>
                <w:szCs w:val="20"/>
                <w:lang w:eastAsia="zh-CN"/>
              </w:rPr>
            </w:pPr>
            <w:r w:rsidRPr="002E5315">
              <w:rPr>
                <w:rFonts w:cs="Arial"/>
                <w:sz w:val="20"/>
                <w:szCs w:val="20"/>
                <w:lang w:eastAsia="zh-CN"/>
              </w:rPr>
              <w:t>4,65</w:t>
            </w:r>
          </w:p>
        </w:tc>
        <w:tc>
          <w:tcPr>
            <w:tcW w:w="1055" w:type="dxa"/>
            <w:vAlign w:val="center"/>
          </w:tcPr>
          <w:p w14:paraId="3716C234" w14:textId="77777777" w:rsidR="00B20D87" w:rsidRPr="002E5315" w:rsidRDefault="00B20D87" w:rsidP="00754B2D">
            <w:pPr>
              <w:jc w:val="center"/>
              <w:rPr>
                <w:rFonts w:cs="Arial"/>
                <w:sz w:val="20"/>
                <w:szCs w:val="20"/>
                <w:lang w:eastAsia="zh-CN"/>
              </w:rPr>
            </w:pPr>
            <w:r w:rsidRPr="002E5315">
              <w:rPr>
                <w:rFonts w:cs="Arial"/>
                <w:sz w:val="20"/>
                <w:szCs w:val="20"/>
                <w:lang w:eastAsia="zh-CN"/>
              </w:rPr>
              <w:t>526</w:t>
            </w:r>
          </w:p>
        </w:tc>
        <w:tc>
          <w:tcPr>
            <w:tcW w:w="1276" w:type="dxa"/>
            <w:vAlign w:val="center"/>
          </w:tcPr>
          <w:p w14:paraId="7F25137D" w14:textId="77777777" w:rsidR="00B20D87" w:rsidRPr="002E5315" w:rsidRDefault="00B20D87" w:rsidP="00754B2D">
            <w:pPr>
              <w:jc w:val="center"/>
              <w:rPr>
                <w:rFonts w:cs="Arial"/>
                <w:sz w:val="20"/>
                <w:szCs w:val="20"/>
                <w:lang w:eastAsia="zh-CN"/>
              </w:rPr>
            </w:pPr>
            <w:r w:rsidRPr="002E5315">
              <w:rPr>
                <w:rFonts w:cs="Arial"/>
                <w:sz w:val="20"/>
                <w:szCs w:val="20"/>
                <w:lang w:eastAsia="zh-CN"/>
              </w:rPr>
              <w:t>18,14</w:t>
            </w:r>
          </w:p>
        </w:tc>
        <w:tc>
          <w:tcPr>
            <w:tcW w:w="806" w:type="dxa"/>
            <w:vAlign w:val="center"/>
          </w:tcPr>
          <w:p w14:paraId="4C699101" w14:textId="77777777" w:rsidR="00B20D87" w:rsidRPr="002E5315" w:rsidRDefault="00B20D87" w:rsidP="00754B2D">
            <w:pPr>
              <w:jc w:val="center"/>
              <w:rPr>
                <w:rFonts w:cs="Arial"/>
                <w:sz w:val="20"/>
                <w:szCs w:val="20"/>
                <w:lang w:eastAsia="zh-CN"/>
              </w:rPr>
            </w:pPr>
            <w:r w:rsidRPr="002E5315">
              <w:rPr>
                <w:rFonts w:cs="Arial"/>
                <w:sz w:val="20"/>
                <w:szCs w:val="20"/>
                <w:lang w:eastAsia="zh-CN"/>
              </w:rPr>
              <w:t>5,51</w:t>
            </w:r>
          </w:p>
        </w:tc>
      </w:tr>
      <w:tr w:rsidR="00B20D87" w:rsidRPr="002E5315" w14:paraId="42873868" w14:textId="77777777" w:rsidTr="002178F4">
        <w:trPr>
          <w:trHeight w:val="264"/>
          <w:jc w:val="center"/>
        </w:trPr>
        <w:tc>
          <w:tcPr>
            <w:tcW w:w="1099" w:type="dxa"/>
            <w:tcBorders>
              <w:left w:val="nil"/>
              <w:right w:val="nil"/>
            </w:tcBorders>
            <w:shd w:val="clear" w:color="auto" w:fill="D9E2F3" w:themeFill="accent1" w:themeFillTint="33"/>
            <w:noWrap/>
            <w:vAlign w:val="center"/>
          </w:tcPr>
          <w:p w14:paraId="7B52EED6" w14:textId="77777777" w:rsidR="00B20D87" w:rsidRPr="002E5315" w:rsidRDefault="00B20D87" w:rsidP="007C569F">
            <w:pPr>
              <w:jc w:val="center"/>
              <w:rPr>
                <w:rFonts w:cs="Arial"/>
                <w:b/>
                <w:bCs/>
                <w:sz w:val="20"/>
                <w:szCs w:val="20"/>
                <w:lang w:eastAsia="zh-CN"/>
              </w:rPr>
            </w:pPr>
            <w:r w:rsidRPr="002E5315">
              <w:rPr>
                <w:rFonts w:cs="Arial"/>
                <w:b/>
                <w:bCs/>
                <w:sz w:val="20"/>
                <w:szCs w:val="20"/>
                <w:lang w:eastAsia="zh-CN"/>
              </w:rPr>
              <w:t>2016.</w:t>
            </w:r>
          </w:p>
        </w:tc>
        <w:tc>
          <w:tcPr>
            <w:tcW w:w="1294" w:type="dxa"/>
            <w:tcBorders>
              <w:left w:val="nil"/>
              <w:right w:val="nil"/>
            </w:tcBorders>
            <w:shd w:val="clear" w:color="auto" w:fill="D9E2F3" w:themeFill="accent1" w:themeFillTint="33"/>
            <w:vAlign w:val="center"/>
          </w:tcPr>
          <w:p w14:paraId="37A17104" w14:textId="77777777" w:rsidR="00B20D87" w:rsidRPr="002E5315" w:rsidRDefault="00B20D87" w:rsidP="007C569F">
            <w:pPr>
              <w:jc w:val="center"/>
              <w:rPr>
                <w:rFonts w:cs="Arial"/>
                <w:sz w:val="20"/>
                <w:szCs w:val="20"/>
                <w:lang w:eastAsia="zh-CN"/>
              </w:rPr>
            </w:pPr>
            <w:r w:rsidRPr="002E5315">
              <w:rPr>
                <w:rFonts w:cs="Arial"/>
                <w:sz w:val="20"/>
                <w:szCs w:val="20"/>
                <w:lang w:eastAsia="zh-CN"/>
              </w:rPr>
              <w:t>635</w:t>
            </w:r>
          </w:p>
        </w:tc>
        <w:tc>
          <w:tcPr>
            <w:tcW w:w="833" w:type="dxa"/>
            <w:tcBorders>
              <w:left w:val="nil"/>
              <w:right w:val="nil"/>
            </w:tcBorders>
            <w:shd w:val="clear" w:color="auto" w:fill="D9E2F3" w:themeFill="accent1" w:themeFillTint="33"/>
            <w:noWrap/>
            <w:vAlign w:val="center"/>
          </w:tcPr>
          <w:p w14:paraId="4779883C" w14:textId="77777777" w:rsidR="00B20D87" w:rsidRPr="002E5315" w:rsidRDefault="00B20D87" w:rsidP="007C569F">
            <w:pPr>
              <w:jc w:val="center"/>
              <w:rPr>
                <w:rFonts w:cs="Arial"/>
                <w:sz w:val="20"/>
                <w:szCs w:val="20"/>
                <w:lang w:eastAsia="zh-CN"/>
              </w:rPr>
            </w:pPr>
            <w:r w:rsidRPr="002E5315">
              <w:rPr>
                <w:rFonts w:cs="Arial"/>
                <w:sz w:val="20"/>
                <w:szCs w:val="20"/>
                <w:lang w:eastAsia="zh-CN"/>
              </w:rPr>
              <w:t>34</w:t>
            </w:r>
          </w:p>
        </w:tc>
        <w:tc>
          <w:tcPr>
            <w:tcW w:w="1398" w:type="dxa"/>
            <w:tcBorders>
              <w:left w:val="nil"/>
              <w:right w:val="nil"/>
            </w:tcBorders>
            <w:shd w:val="clear" w:color="auto" w:fill="D9E2F3" w:themeFill="accent1" w:themeFillTint="33"/>
            <w:vAlign w:val="center"/>
          </w:tcPr>
          <w:p w14:paraId="1C6C4136" w14:textId="77777777" w:rsidR="00B20D87" w:rsidRPr="002E5315" w:rsidRDefault="00B20D87" w:rsidP="00754B2D">
            <w:pPr>
              <w:jc w:val="center"/>
              <w:rPr>
                <w:rFonts w:cs="Arial"/>
                <w:sz w:val="20"/>
                <w:szCs w:val="20"/>
                <w:lang w:eastAsia="zh-CN"/>
              </w:rPr>
            </w:pPr>
            <w:r w:rsidRPr="002E5315">
              <w:rPr>
                <w:rFonts w:cs="Arial"/>
                <w:sz w:val="20"/>
                <w:szCs w:val="20"/>
                <w:lang w:eastAsia="zh-CN"/>
              </w:rPr>
              <w:t>18,67</w:t>
            </w:r>
          </w:p>
        </w:tc>
        <w:tc>
          <w:tcPr>
            <w:tcW w:w="1276" w:type="dxa"/>
            <w:tcBorders>
              <w:left w:val="nil"/>
              <w:right w:val="nil"/>
            </w:tcBorders>
            <w:shd w:val="clear" w:color="auto" w:fill="D9E2F3" w:themeFill="accent1" w:themeFillTint="33"/>
            <w:vAlign w:val="center"/>
          </w:tcPr>
          <w:p w14:paraId="000E7F2D" w14:textId="77777777" w:rsidR="00B20D87" w:rsidRPr="002E5315" w:rsidRDefault="00B20D87" w:rsidP="00754B2D">
            <w:pPr>
              <w:jc w:val="center"/>
              <w:rPr>
                <w:rFonts w:cs="Arial"/>
                <w:sz w:val="20"/>
                <w:szCs w:val="20"/>
                <w:lang w:eastAsia="zh-CN"/>
              </w:rPr>
            </w:pPr>
            <w:r w:rsidRPr="002E5315">
              <w:rPr>
                <w:rFonts w:cs="Arial"/>
                <w:sz w:val="20"/>
                <w:szCs w:val="20"/>
                <w:lang w:eastAsia="zh-CN"/>
              </w:rPr>
              <w:t>5,35</w:t>
            </w:r>
          </w:p>
        </w:tc>
        <w:tc>
          <w:tcPr>
            <w:tcW w:w="1055" w:type="dxa"/>
            <w:tcBorders>
              <w:left w:val="nil"/>
              <w:right w:val="nil"/>
            </w:tcBorders>
            <w:shd w:val="clear" w:color="auto" w:fill="D9E2F3" w:themeFill="accent1" w:themeFillTint="33"/>
            <w:vAlign w:val="center"/>
          </w:tcPr>
          <w:p w14:paraId="47318A8F" w14:textId="77777777" w:rsidR="00B20D87" w:rsidRPr="002E5315" w:rsidRDefault="00B20D87" w:rsidP="00754B2D">
            <w:pPr>
              <w:jc w:val="center"/>
              <w:rPr>
                <w:rFonts w:cs="Arial"/>
                <w:sz w:val="20"/>
                <w:szCs w:val="20"/>
                <w:lang w:eastAsia="zh-CN"/>
              </w:rPr>
            </w:pPr>
            <w:r w:rsidRPr="002E5315">
              <w:rPr>
                <w:rFonts w:cs="Arial"/>
                <w:sz w:val="20"/>
                <w:szCs w:val="20"/>
                <w:lang w:eastAsia="zh-CN"/>
              </w:rPr>
              <w:t>674</w:t>
            </w:r>
          </w:p>
        </w:tc>
        <w:tc>
          <w:tcPr>
            <w:tcW w:w="1276" w:type="dxa"/>
            <w:tcBorders>
              <w:left w:val="nil"/>
              <w:right w:val="nil"/>
            </w:tcBorders>
            <w:shd w:val="clear" w:color="auto" w:fill="D9E2F3" w:themeFill="accent1" w:themeFillTint="33"/>
            <w:vAlign w:val="center"/>
          </w:tcPr>
          <w:p w14:paraId="529D660B" w14:textId="77777777" w:rsidR="00B20D87" w:rsidRPr="002E5315" w:rsidRDefault="00B20D87" w:rsidP="00754B2D">
            <w:pPr>
              <w:jc w:val="center"/>
              <w:rPr>
                <w:rFonts w:cs="Arial"/>
                <w:sz w:val="20"/>
                <w:szCs w:val="20"/>
                <w:lang w:eastAsia="zh-CN"/>
              </w:rPr>
            </w:pPr>
            <w:r w:rsidRPr="002E5315">
              <w:rPr>
                <w:rFonts w:cs="Arial"/>
                <w:sz w:val="20"/>
                <w:szCs w:val="20"/>
                <w:lang w:eastAsia="zh-CN"/>
              </w:rPr>
              <w:t>19,82</w:t>
            </w:r>
          </w:p>
        </w:tc>
        <w:tc>
          <w:tcPr>
            <w:tcW w:w="806" w:type="dxa"/>
            <w:tcBorders>
              <w:left w:val="nil"/>
              <w:right w:val="nil"/>
            </w:tcBorders>
            <w:shd w:val="clear" w:color="auto" w:fill="D9E2F3" w:themeFill="accent1" w:themeFillTint="33"/>
            <w:vAlign w:val="center"/>
          </w:tcPr>
          <w:p w14:paraId="7B609028" w14:textId="77777777" w:rsidR="00B20D87" w:rsidRPr="002E5315" w:rsidRDefault="00B20D87" w:rsidP="00754B2D">
            <w:pPr>
              <w:jc w:val="center"/>
              <w:rPr>
                <w:rFonts w:cs="Arial"/>
                <w:sz w:val="20"/>
                <w:szCs w:val="20"/>
                <w:lang w:eastAsia="zh-CN"/>
              </w:rPr>
            </w:pPr>
            <w:r w:rsidRPr="002E5315">
              <w:rPr>
                <w:rFonts w:cs="Arial"/>
                <w:sz w:val="20"/>
                <w:szCs w:val="20"/>
                <w:lang w:eastAsia="zh-CN"/>
              </w:rPr>
              <w:t>5,04</w:t>
            </w:r>
          </w:p>
        </w:tc>
      </w:tr>
      <w:tr w:rsidR="00B20D87" w:rsidRPr="002E5315" w14:paraId="64F54308" w14:textId="77777777" w:rsidTr="007C569F">
        <w:trPr>
          <w:trHeight w:val="264"/>
          <w:jc w:val="center"/>
        </w:trPr>
        <w:tc>
          <w:tcPr>
            <w:tcW w:w="1099" w:type="dxa"/>
            <w:tcBorders>
              <w:left w:val="nil"/>
              <w:right w:val="nil"/>
            </w:tcBorders>
            <w:shd w:val="clear" w:color="auto" w:fill="auto"/>
            <w:noWrap/>
            <w:vAlign w:val="center"/>
          </w:tcPr>
          <w:p w14:paraId="588BBA95" w14:textId="77777777" w:rsidR="00B20D87" w:rsidRPr="002E5315" w:rsidRDefault="00B20D87" w:rsidP="007C569F">
            <w:pPr>
              <w:jc w:val="center"/>
              <w:rPr>
                <w:rFonts w:cs="Arial"/>
                <w:b/>
                <w:bCs/>
                <w:sz w:val="20"/>
                <w:szCs w:val="20"/>
                <w:highlight w:val="yellow"/>
                <w:lang w:eastAsia="zh-CN"/>
              </w:rPr>
            </w:pPr>
            <w:r w:rsidRPr="002E5315">
              <w:rPr>
                <w:rFonts w:cs="Arial"/>
                <w:b/>
                <w:bCs/>
                <w:sz w:val="20"/>
                <w:szCs w:val="20"/>
                <w:lang w:eastAsia="zh-CN"/>
              </w:rPr>
              <w:t>2017.</w:t>
            </w:r>
          </w:p>
        </w:tc>
        <w:tc>
          <w:tcPr>
            <w:tcW w:w="1294" w:type="dxa"/>
            <w:tcBorders>
              <w:left w:val="nil"/>
              <w:right w:val="nil"/>
            </w:tcBorders>
            <w:vAlign w:val="center"/>
          </w:tcPr>
          <w:p w14:paraId="0381C6F1" w14:textId="77777777" w:rsidR="00B20D87" w:rsidRPr="002E5315" w:rsidRDefault="00B20D87" w:rsidP="007C569F">
            <w:pPr>
              <w:jc w:val="center"/>
              <w:rPr>
                <w:rFonts w:cs="Arial"/>
                <w:sz w:val="20"/>
                <w:szCs w:val="20"/>
                <w:lang w:eastAsia="zh-CN"/>
              </w:rPr>
            </w:pPr>
            <w:r w:rsidRPr="002E5315">
              <w:rPr>
                <w:rFonts w:cs="Arial"/>
                <w:sz w:val="20"/>
                <w:szCs w:val="20"/>
                <w:lang w:eastAsia="zh-CN"/>
              </w:rPr>
              <w:t>1.172</w:t>
            </w:r>
          </w:p>
        </w:tc>
        <w:tc>
          <w:tcPr>
            <w:tcW w:w="833" w:type="dxa"/>
            <w:tcBorders>
              <w:left w:val="nil"/>
              <w:right w:val="nil"/>
            </w:tcBorders>
            <w:shd w:val="clear" w:color="auto" w:fill="auto"/>
            <w:noWrap/>
            <w:vAlign w:val="center"/>
          </w:tcPr>
          <w:p w14:paraId="24B9B2BE" w14:textId="77777777" w:rsidR="00B20D87" w:rsidRPr="002E5315" w:rsidRDefault="00B20D87" w:rsidP="007C569F">
            <w:pPr>
              <w:jc w:val="center"/>
              <w:rPr>
                <w:rFonts w:cs="Arial"/>
                <w:sz w:val="20"/>
                <w:szCs w:val="20"/>
                <w:lang w:eastAsia="zh-CN"/>
              </w:rPr>
            </w:pPr>
            <w:r w:rsidRPr="002E5315">
              <w:rPr>
                <w:rFonts w:cs="Arial"/>
                <w:sz w:val="20"/>
                <w:szCs w:val="20"/>
                <w:lang w:eastAsia="zh-CN"/>
              </w:rPr>
              <w:t>175</w:t>
            </w:r>
          </w:p>
        </w:tc>
        <w:tc>
          <w:tcPr>
            <w:tcW w:w="1398" w:type="dxa"/>
            <w:tcBorders>
              <w:left w:val="nil"/>
              <w:right w:val="nil"/>
            </w:tcBorders>
            <w:shd w:val="clear" w:color="auto" w:fill="auto"/>
            <w:vAlign w:val="center"/>
          </w:tcPr>
          <w:p w14:paraId="030AD66E" w14:textId="77777777" w:rsidR="00B20D87" w:rsidRPr="002E5315" w:rsidRDefault="00B20D87" w:rsidP="00754B2D">
            <w:pPr>
              <w:jc w:val="center"/>
              <w:rPr>
                <w:rFonts w:cs="Arial"/>
                <w:sz w:val="20"/>
                <w:szCs w:val="20"/>
                <w:lang w:eastAsia="zh-CN"/>
              </w:rPr>
            </w:pPr>
            <w:r w:rsidRPr="002E5315">
              <w:rPr>
                <w:rFonts w:cs="Arial"/>
                <w:sz w:val="20"/>
                <w:szCs w:val="20"/>
                <w:lang w:eastAsia="zh-CN"/>
              </w:rPr>
              <w:t>6,70</w:t>
            </w:r>
          </w:p>
        </w:tc>
        <w:tc>
          <w:tcPr>
            <w:tcW w:w="1276" w:type="dxa"/>
            <w:tcBorders>
              <w:left w:val="nil"/>
              <w:right w:val="nil"/>
            </w:tcBorders>
            <w:shd w:val="clear" w:color="auto" w:fill="auto"/>
            <w:vAlign w:val="center"/>
          </w:tcPr>
          <w:p w14:paraId="51D0DE4D" w14:textId="77777777" w:rsidR="00B20D87" w:rsidRPr="002E5315" w:rsidRDefault="00B20D87" w:rsidP="00754B2D">
            <w:pPr>
              <w:jc w:val="center"/>
              <w:rPr>
                <w:rFonts w:cs="Arial"/>
                <w:sz w:val="20"/>
                <w:szCs w:val="20"/>
                <w:lang w:eastAsia="zh-CN"/>
              </w:rPr>
            </w:pPr>
            <w:r w:rsidRPr="002E5315">
              <w:rPr>
                <w:rFonts w:cs="Arial"/>
                <w:sz w:val="20"/>
                <w:szCs w:val="20"/>
                <w:lang w:eastAsia="zh-CN"/>
              </w:rPr>
              <w:t>14,93</w:t>
            </w:r>
          </w:p>
        </w:tc>
        <w:tc>
          <w:tcPr>
            <w:tcW w:w="1055" w:type="dxa"/>
            <w:tcBorders>
              <w:left w:val="nil"/>
              <w:right w:val="nil"/>
            </w:tcBorders>
            <w:shd w:val="clear" w:color="auto" w:fill="auto"/>
            <w:vAlign w:val="center"/>
          </w:tcPr>
          <w:p w14:paraId="54ED0D7C" w14:textId="77777777" w:rsidR="00B20D87" w:rsidRPr="002E5315" w:rsidRDefault="00B20D87" w:rsidP="00754B2D">
            <w:pPr>
              <w:jc w:val="center"/>
              <w:rPr>
                <w:rFonts w:cs="Arial"/>
                <w:sz w:val="20"/>
                <w:szCs w:val="20"/>
                <w:lang w:eastAsia="zh-CN"/>
              </w:rPr>
            </w:pPr>
            <w:r w:rsidRPr="002E5315">
              <w:rPr>
                <w:rFonts w:cs="Arial"/>
                <w:sz w:val="20"/>
                <w:szCs w:val="20"/>
                <w:lang w:eastAsia="zh-CN"/>
              </w:rPr>
              <w:t>1.188</w:t>
            </w:r>
          </w:p>
        </w:tc>
        <w:tc>
          <w:tcPr>
            <w:tcW w:w="1276" w:type="dxa"/>
            <w:tcBorders>
              <w:left w:val="nil"/>
              <w:right w:val="nil"/>
            </w:tcBorders>
            <w:shd w:val="clear" w:color="auto" w:fill="auto"/>
            <w:vAlign w:val="center"/>
          </w:tcPr>
          <w:p w14:paraId="252B32E7" w14:textId="77777777" w:rsidR="00B20D87" w:rsidRPr="002E5315" w:rsidRDefault="00B20D87" w:rsidP="00754B2D">
            <w:pPr>
              <w:jc w:val="center"/>
              <w:rPr>
                <w:rFonts w:cs="Arial"/>
                <w:sz w:val="20"/>
                <w:szCs w:val="20"/>
                <w:lang w:eastAsia="zh-CN"/>
              </w:rPr>
            </w:pPr>
            <w:r w:rsidRPr="002E5315">
              <w:rPr>
                <w:rFonts w:cs="Arial"/>
                <w:sz w:val="20"/>
                <w:szCs w:val="20"/>
                <w:lang w:eastAsia="zh-CN"/>
              </w:rPr>
              <w:t>6,79</w:t>
            </w:r>
          </w:p>
        </w:tc>
        <w:tc>
          <w:tcPr>
            <w:tcW w:w="806" w:type="dxa"/>
            <w:tcBorders>
              <w:left w:val="nil"/>
              <w:right w:val="nil"/>
            </w:tcBorders>
            <w:shd w:val="clear" w:color="auto" w:fill="auto"/>
            <w:vAlign w:val="center"/>
          </w:tcPr>
          <w:p w14:paraId="054C8E21" w14:textId="77777777" w:rsidR="00B20D87" w:rsidRPr="002E5315" w:rsidRDefault="00B20D87" w:rsidP="00754B2D">
            <w:pPr>
              <w:jc w:val="center"/>
              <w:rPr>
                <w:rFonts w:cs="Arial"/>
                <w:sz w:val="20"/>
                <w:szCs w:val="20"/>
                <w:lang w:eastAsia="zh-CN"/>
              </w:rPr>
            </w:pPr>
            <w:r w:rsidRPr="002E5315">
              <w:rPr>
                <w:rFonts w:cs="Arial"/>
                <w:sz w:val="20"/>
                <w:szCs w:val="20"/>
                <w:lang w:eastAsia="zh-CN"/>
              </w:rPr>
              <w:t>14,73</w:t>
            </w:r>
          </w:p>
        </w:tc>
      </w:tr>
      <w:tr w:rsidR="00B20D87" w:rsidRPr="002E5315" w14:paraId="5A8267CE" w14:textId="77777777" w:rsidTr="007C569F">
        <w:trPr>
          <w:trHeight w:val="264"/>
          <w:jc w:val="center"/>
        </w:trPr>
        <w:tc>
          <w:tcPr>
            <w:tcW w:w="1099" w:type="dxa"/>
            <w:shd w:val="clear" w:color="auto" w:fill="D9E2F3" w:themeFill="accent1" w:themeFillTint="33"/>
            <w:noWrap/>
            <w:vAlign w:val="center"/>
            <w:hideMark/>
          </w:tcPr>
          <w:p w14:paraId="59D7DF43" w14:textId="3DDD0559" w:rsidR="00B20D87" w:rsidRPr="002E5315" w:rsidRDefault="00B20D87" w:rsidP="007C569F">
            <w:pPr>
              <w:jc w:val="center"/>
              <w:rPr>
                <w:rFonts w:cs="Arial"/>
                <w:b/>
                <w:bCs/>
                <w:sz w:val="20"/>
                <w:szCs w:val="20"/>
                <w:lang w:eastAsia="zh-CN"/>
              </w:rPr>
            </w:pPr>
            <w:r w:rsidRPr="002E5315">
              <w:rPr>
                <w:rFonts w:cs="Arial"/>
                <w:b/>
                <w:bCs/>
                <w:sz w:val="20"/>
                <w:szCs w:val="20"/>
                <w:lang w:eastAsia="zh-CN"/>
              </w:rPr>
              <w:t>2018.</w:t>
            </w:r>
          </w:p>
        </w:tc>
        <w:tc>
          <w:tcPr>
            <w:tcW w:w="1294" w:type="dxa"/>
            <w:shd w:val="clear" w:color="auto" w:fill="D9E2F3" w:themeFill="accent1" w:themeFillTint="33"/>
            <w:vAlign w:val="center"/>
          </w:tcPr>
          <w:p w14:paraId="274BB41F" w14:textId="5DA6F5A9" w:rsidR="00B20D87" w:rsidRPr="002178F4" w:rsidRDefault="00B20D87" w:rsidP="007C569F">
            <w:pPr>
              <w:jc w:val="center"/>
              <w:rPr>
                <w:rFonts w:cs="Arial"/>
                <w:sz w:val="20"/>
                <w:szCs w:val="20"/>
                <w:lang w:eastAsia="zh-CN"/>
              </w:rPr>
            </w:pPr>
            <w:r w:rsidRPr="002E5315">
              <w:rPr>
                <w:rFonts w:cs="Arial"/>
                <w:sz w:val="20"/>
                <w:szCs w:val="20"/>
                <w:lang w:eastAsia="zh-CN"/>
              </w:rPr>
              <w:t>1.010</w:t>
            </w:r>
          </w:p>
        </w:tc>
        <w:tc>
          <w:tcPr>
            <w:tcW w:w="833" w:type="dxa"/>
            <w:shd w:val="clear" w:color="auto" w:fill="D9E2F3" w:themeFill="accent1" w:themeFillTint="33"/>
            <w:noWrap/>
            <w:vAlign w:val="center"/>
          </w:tcPr>
          <w:p w14:paraId="10195678" w14:textId="15F1F2A1" w:rsidR="00B20D87" w:rsidRPr="002178F4" w:rsidRDefault="00B20D87" w:rsidP="007C569F">
            <w:pPr>
              <w:jc w:val="center"/>
              <w:rPr>
                <w:rFonts w:cs="Arial"/>
                <w:sz w:val="20"/>
                <w:szCs w:val="20"/>
                <w:lang w:eastAsia="zh-CN"/>
              </w:rPr>
            </w:pPr>
            <w:r w:rsidRPr="002E5315">
              <w:rPr>
                <w:rFonts w:cs="Arial"/>
                <w:sz w:val="20"/>
                <w:szCs w:val="20"/>
                <w:lang w:eastAsia="zh-CN"/>
              </w:rPr>
              <w:t>300</w:t>
            </w:r>
          </w:p>
        </w:tc>
        <w:tc>
          <w:tcPr>
            <w:tcW w:w="1398" w:type="dxa"/>
            <w:shd w:val="clear" w:color="auto" w:fill="D9E2F3" w:themeFill="accent1" w:themeFillTint="33"/>
            <w:vAlign w:val="center"/>
          </w:tcPr>
          <w:p w14:paraId="08773BD9" w14:textId="62EEC583" w:rsidR="00B20D87" w:rsidRPr="002178F4" w:rsidRDefault="00B20D87" w:rsidP="00754B2D">
            <w:pPr>
              <w:jc w:val="center"/>
              <w:rPr>
                <w:rFonts w:cs="Arial"/>
                <w:sz w:val="20"/>
                <w:szCs w:val="20"/>
                <w:lang w:eastAsia="zh-CN"/>
              </w:rPr>
            </w:pPr>
            <w:r w:rsidRPr="002E5315">
              <w:rPr>
                <w:rFonts w:cs="Arial"/>
                <w:sz w:val="20"/>
                <w:szCs w:val="20"/>
                <w:lang w:eastAsia="zh-CN"/>
              </w:rPr>
              <w:t>3,37</w:t>
            </w:r>
          </w:p>
        </w:tc>
        <w:tc>
          <w:tcPr>
            <w:tcW w:w="1276" w:type="dxa"/>
            <w:shd w:val="clear" w:color="auto" w:fill="D9E2F3" w:themeFill="accent1" w:themeFillTint="33"/>
            <w:vAlign w:val="center"/>
          </w:tcPr>
          <w:p w14:paraId="6394C143" w14:textId="12265099" w:rsidR="00B20D87" w:rsidRPr="002178F4" w:rsidRDefault="00B20D87" w:rsidP="00754B2D">
            <w:pPr>
              <w:jc w:val="center"/>
              <w:rPr>
                <w:rFonts w:cs="Arial"/>
                <w:sz w:val="20"/>
                <w:szCs w:val="20"/>
                <w:lang w:eastAsia="zh-CN"/>
              </w:rPr>
            </w:pPr>
            <w:r w:rsidRPr="002E5315">
              <w:rPr>
                <w:rFonts w:cs="Arial"/>
                <w:sz w:val="20"/>
                <w:szCs w:val="20"/>
                <w:lang w:eastAsia="zh-CN"/>
              </w:rPr>
              <w:t>29,70</w:t>
            </w:r>
          </w:p>
        </w:tc>
        <w:tc>
          <w:tcPr>
            <w:tcW w:w="1055" w:type="dxa"/>
            <w:shd w:val="clear" w:color="auto" w:fill="D9E2F3" w:themeFill="accent1" w:themeFillTint="33"/>
            <w:vAlign w:val="center"/>
          </w:tcPr>
          <w:p w14:paraId="5EFA1487" w14:textId="115B506D" w:rsidR="00B20D87" w:rsidRPr="002178F4" w:rsidRDefault="00B20D87" w:rsidP="00754B2D">
            <w:pPr>
              <w:jc w:val="center"/>
              <w:rPr>
                <w:rFonts w:cs="Arial"/>
                <w:sz w:val="20"/>
                <w:szCs w:val="20"/>
                <w:lang w:eastAsia="zh-CN"/>
              </w:rPr>
            </w:pPr>
            <w:r w:rsidRPr="002E5315">
              <w:rPr>
                <w:rFonts w:cs="Arial"/>
                <w:sz w:val="20"/>
                <w:szCs w:val="20"/>
                <w:lang w:eastAsia="zh-CN"/>
              </w:rPr>
              <w:t>1.026</w:t>
            </w:r>
          </w:p>
        </w:tc>
        <w:tc>
          <w:tcPr>
            <w:tcW w:w="1276" w:type="dxa"/>
            <w:shd w:val="clear" w:color="auto" w:fill="D9E2F3" w:themeFill="accent1" w:themeFillTint="33"/>
            <w:vAlign w:val="center"/>
          </w:tcPr>
          <w:p w14:paraId="02C6740C" w14:textId="27421EF8" w:rsidR="00B20D87" w:rsidRPr="002178F4" w:rsidRDefault="00B20D87" w:rsidP="00754B2D">
            <w:pPr>
              <w:jc w:val="center"/>
              <w:rPr>
                <w:rFonts w:cs="Arial"/>
                <w:sz w:val="20"/>
                <w:szCs w:val="20"/>
                <w:lang w:eastAsia="zh-CN"/>
              </w:rPr>
            </w:pPr>
            <w:r w:rsidRPr="002E5315">
              <w:rPr>
                <w:rFonts w:cs="Arial"/>
                <w:sz w:val="20"/>
                <w:szCs w:val="20"/>
                <w:lang w:eastAsia="zh-CN"/>
              </w:rPr>
              <w:t>3,45</w:t>
            </w:r>
          </w:p>
        </w:tc>
        <w:tc>
          <w:tcPr>
            <w:tcW w:w="806" w:type="dxa"/>
            <w:shd w:val="clear" w:color="auto" w:fill="D9E2F3" w:themeFill="accent1" w:themeFillTint="33"/>
            <w:vAlign w:val="center"/>
          </w:tcPr>
          <w:p w14:paraId="53DCD91F" w14:textId="46735E9B" w:rsidR="00B20D87" w:rsidRPr="002178F4" w:rsidRDefault="00B20D87" w:rsidP="00754B2D">
            <w:pPr>
              <w:jc w:val="center"/>
              <w:rPr>
                <w:rFonts w:cs="Arial"/>
                <w:sz w:val="20"/>
                <w:szCs w:val="20"/>
                <w:lang w:eastAsia="zh-CN"/>
              </w:rPr>
            </w:pPr>
            <w:r w:rsidRPr="002E5315">
              <w:rPr>
                <w:rFonts w:cs="Arial"/>
                <w:sz w:val="20"/>
                <w:szCs w:val="20"/>
                <w:lang w:eastAsia="zh-CN"/>
              </w:rPr>
              <w:t>3</w:t>
            </w:r>
          </w:p>
        </w:tc>
      </w:tr>
      <w:tr w:rsidR="002178F4" w:rsidRPr="002178F4" w14:paraId="7BA30266" w14:textId="77777777" w:rsidTr="002178F4">
        <w:trPr>
          <w:trHeight w:val="264"/>
          <w:jc w:val="center"/>
        </w:trPr>
        <w:tc>
          <w:tcPr>
            <w:tcW w:w="1099" w:type="dxa"/>
            <w:shd w:val="clear" w:color="auto" w:fill="FFFFFF" w:themeFill="background1"/>
            <w:noWrap/>
            <w:vAlign w:val="center"/>
          </w:tcPr>
          <w:p w14:paraId="06470F77" w14:textId="2A4A701A" w:rsidR="002178F4" w:rsidRPr="002178F4" w:rsidRDefault="002178F4" w:rsidP="007C569F">
            <w:pPr>
              <w:jc w:val="center"/>
              <w:rPr>
                <w:rFonts w:cs="Arial"/>
                <w:b/>
                <w:bCs/>
                <w:sz w:val="20"/>
                <w:szCs w:val="20"/>
                <w:lang w:eastAsia="zh-CN"/>
              </w:rPr>
            </w:pPr>
            <w:r w:rsidRPr="002178F4">
              <w:rPr>
                <w:rFonts w:cs="Arial"/>
                <w:b/>
                <w:bCs/>
                <w:sz w:val="20"/>
                <w:szCs w:val="20"/>
                <w:lang w:eastAsia="zh-CN"/>
              </w:rPr>
              <w:t>2019.</w:t>
            </w:r>
          </w:p>
        </w:tc>
        <w:tc>
          <w:tcPr>
            <w:tcW w:w="1294" w:type="dxa"/>
            <w:shd w:val="clear" w:color="auto" w:fill="FFFFFF" w:themeFill="background1"/>
            <w:vAlign w:val="center"/>
          </w:tcPr>
          <w:p w14:paraId="6F28F70F" w14:textId="68CFF2CF" w:rsidR="002178F4" w:rsidRPr="002178F4" w:rsidRDefault="002178F4" w:rsidP="007C569F">
            <w:pPr>
              <w:jc w:val="center"/>
              <w:rPr>
                <w:rFonts w:cs="Arial"/>
                <w:b/>
                <w:bCs/>
                <w:sz w:val="20"/>
                <w:szCs w:val="20"/>
                <w:lang w:eastAsia="zh-CN"/>
              </w:rPr>
            </w:pPr>
            <w:r w:rsidRPr="002178F4">
              <w:rPr>
                <w:rFonts w:cs="Arial"/>
                <w:b/>
                <w:bCs/>
                <w:sz w:val="20"/>
                <w:szCs w:val="20"/>
                <w:lang w:eastAsia="zh-CN"/>
              </w:rPr>
              <w:t>814</w:t>
            </w:r>
          </w:p>
        </w:tc>
        <w:tc>
          <w:tcPr>
            <w:tcW w:w="833" w:type="dxa"/>
            <w:shd w:val="clear" w:color="auto" w:fill="FFFFFF" w:themeFill="background1"/>
            <w:noWrap/>
            <w:vAlign w:val="center"/>
          </w:tcPr>
          <w:p w14:paraId="119AF3F2" w14:textId="1481DDD0" w:rsidR="002178F4" w:rsidRPr="002178F4" w:rsidRDefault="002178F4" w:rsidP="007C569F">
            <w:pPr>
              <w:jc w:val="center"/>
              <w:rPr>
                <w:rFonts w:cs="Arial"/>
                <w:b/>
                <w:bCs/>
                <w:sz w:val="20"/>
                <w:szCs w:val="20"/>
                <w:lang w:eastAsia="zh-CN"/>
              </w:rPr>
            </w:pPr>
            <w:r w:rsidRPr="002178F4">
              <w:rPr>
                <w:rFonts w:cs="Arial"/>
                <w:b/>
                <w:bCs/>
                <w:sz w:val="20"/>
                <w:szCs w:val="20"/>
                <w:lang w:eastAsia="zh-CN"/>
              </w:rPr>
              <w:t>177</w:t>
            </w:r>
          </w:p>
        </w:tc>
        <w:tc>
          <w:tcPr>
            <w:tcW w:w="1398" w:type="dxa"/>
            <w:shd w:val="clear" w:color="auto" w:fill="FFFFFF" w:themeFill="background1"/>
            <w:vAlign w:val="center"/>
          </w:tcPr>
          <w:p w14:paraId="008D37F3" w14:textId="7D189B0E" w:rsidR="002178F4" w:rsidRPr="002178F4" w:rsidRDefault="002178F4" w:rsidP="00754B2D">
            <w:pPr>
              <w:jc w:val="center"/>
              <w:rPr>
                <w:rFonts w:cs="Arial"/>
                <w:b/>
                <w:bCs/>
                <w:sz w:val="20"/>
                <w:szCs w:val="20"/>
                <w:lang w:eastAsia="zh-CN"/>
              </w:rPr>
            </w:pPr>
            <w:r w:rsidRPr="002178F4">
              <w:rPr>
                <w:rFonts w:cs="Arial"/>
                <w:b/>
                <w:bCs/>
                <w:sz w:val="20"/>
                <w:szCs w:val="20"/>
                <w:lang w:eastAsia="zh-CN"/>
              </w:rPr>
              <w:t>4,59</w:t>
            </w:r>
          </w:p>
        </w:tc>
        <w:tc>
          <w:tcPr>
            <w:tcW w:w="1276" w:type="dxa"/>
            <w:shd w:val="clear" w:color="auto" w:fill="FFFFFF" w:themeFill="background1"/>
            <w:vAlign w:val="center"/>
          </w:tcPr>
          <w:p w14:paraId="44A81F1F" w14:textId="0DF42F96" w:rsidR="002178F4" w:rsidRPr="002178F4" w:rsidRDefault="002178F4" w:rsidP="00754B2D">
            <w:pPr>
              <w:jc w:val="center"/>
              <w:rPr>
                <w:rFonts w:cs="Arial"/>
                <w:b/>
                <w:bCs/>
                <w:sz w:val="20"/>
                <w:szCs w:val="20"/>
                <w:lang w:eastAsia="zh-CN"/>
              </w:rPr>
            </w:pPr>
            <w:r w:rsidRPr="002178F4">
              <w:rPr>
                <w:rFonts w:cs="Arial"/>
                <w:b/>
                <w:bCs/>
                <w:sz w:val="20"/>
                <w:szCs w:val="20"/>
                <w:lang w:eastAsia="zh-CN"/>
              </w:rPr>
              <w:t>21,74</w:t>
            </w:r>
          </w:p>
        </w:tc>
        <w:tc>
          <w:tcPr>
            <w:tcW w:w="1055" w:type="dxa"/>
            <w:shd w:val="clear" w:color="auto" w:fill="FFFFFF" w:themeFill="background1"/>
            <w:vAlign w:val="center"/>
          </w:tcPr>
          <w:p w14:paraId="00BECACC" w14:textId="500D3A3E" w:rsidR="002178F4" w:rsidRPr="002178F4" w:rsidRDefault="002178F4" w:rsidP="00754B2D">
            <w:pPr>
              <w:jc w:val="center"/>
              <w:rPr>
                <w:rFonts w:cs="Arial"/>
                <w:b/>
                <w:bCs/>
                <w:sz w:val="20"/>
                <w:szCs w:val="20"/>
                <w:lang w:eastAsia="zh-CN"/>
              </w:rPr>
            </w:pPr>
            <w:r w:rsidRPr="002178F4">
              <w:rPr>
                <w:rFonts w:cs="Arial"/>
                <w:b/>
                <w:bCs/>
                <w:sz w:val="20"/>
                <w:szCs w:val="20"/>
                <w:lang w:eastAsia="zh-CN"/>
              </w:rPr>
              <w:t>889</w:t>
            </w:r>
          </w:p>
        </w:tc>
        <w:tc>
          <w:tcPr>
            <w:tcW w:w="1276" w:type="dxa"/>
            <w:shd w:val="clear" w:color="auto" w:fill="FFFFFF" w:themeFill="background1"/>
            <w:vAlign w:val="center"/>
          </w:tcPr>
          <w:p w14:paraId="3276AD95" w14:textId="7F6C9BF7" w:rsidR="002178F4" w:rsidRPr="002178F4" w:rsidRDefault="002178F4" w:rsidP="00754B2D">
            <w:pPr>
              <w:jc w:val="center"/>
              <w:rPr>
                <w:rFonts w:cs="Arial"/>
                <w:b/>
                <w:bCs/>
                <w:sz w:val="20"/>
                <w:szCs w:val="20"/>
                <w:lang w:eastAsia="zh-CN"/>
              </w:rPr>
            </w:pPr>
            <w:r w:rsidRPr="002178F4">
              <w:rPr>
                <w:rFonts w:cs="Arial"/>
                <w:b/>
                <w:bCs/>
                <w:sz w:val="20"/>
                <w:szCs w:val="20"/>
                <w:lang w:eastAsia="zh-CN"/>
              </w:rPr>
              <w:t>5,02</w:t>
            </w:r>
          </w:p>
        </w:tc>
        <w:tc>
          <w:tcPr>
            <w:tcW w:w="806" w:type="dxa"/>
            <w:shd w:val="clear" w:color="auto" w:fill="FFFFFF" w:themeFill="background1"/>
            <w:vAlign w:val="center"/>
          </w:tcPr>
          <w:p w14:paraId="0DEDECD3" w14:textId="07C044AF" w:rsidR="002178F4" w:rsidRPr="002178F4" w:rsidRDefault="002178F4" w:rsidP="00754B2D">
            <w:pPr>
              <w:jc w:val="center"/>
              <w:rPr>
                <w:rFonts w:cs="Arial"/>
                <w:b/>
                <w:bCs/>
                <w:sz w:val="20"/>
                <w:szCs w:val="20"/>
                <w:lang w:eastAsia="zh-CN"/>
              </w:rPr>
            </w:pPr>
            <w:r w:rsidRPr="002178F4">
              <w:rPr>
                <w:rFonts w:cs="Arial"/>
                <w:b/>
                <w:bCs/>
                <w:sz w:val="20"/>
                <w:szCs w:val="20"/>
                <w:lang w:eastAsia="zh-CN"/>
              </w:rPr>
              <w:t>19.91</w:t>
            </w:r>
          </w:p>
        </w:tc>
      </w:tr>
      <w:tr w:rsidR="00B20D87" w:rsidRPr="002E5315" w14:paraId="16905EB4" w14:textId="77777777" w:rsidTr="007C569F">
        <w:trPr>
          <w:trHeight w:val="264"/>
          <w:jc w:val="center"/>
        </w:trPr>
        <w:tc>
          <w:tcPr>
            <w:tcW w:w="1099" w:type="dxa"/>
            <w:shd w:val="clear" w:color="auto" w:fill="D9E2F3" w:themeFill="accent1" w:themeFillTint="33"/>
            <w:noWrap/>
            <w:vAlign w:val="center"/>
          </w:tcPr>
          <w:p w14:paraId="57D5391A" w14:textId="77777777" w:rsidR="00B20D87" w:rsidRPr="002E5315" w:rsidRDefault="00B20D87" w:rsidP="007C569F">
            <w:pPr>
              <w:jc w:val="center"/>
              <w:rPr>
                <w:rFonts w:cs="Arial"/>
                <w:b/>
                <w:bCs/>
                <w:sz w:val="20"/>
                <w:szCs w:val="20"/>
                <w:lang w:eastAsia="zh-CN"/>
              </w:rPr>
            </w:pPr>
            <w:r w:rsidRPr="002E5315">
              <w:rPr>
                <w:rFonts w:cs="Arial"/>
                <w:b/>
                <w:bCs/>
                <w:sz w:val="20"/>
                <w:szCs w:val="20"/>
                <w:lang w:eastAsia="zh-CN"/>
              </w:rPr>
              <w:t>Ukupno</w:t>
            </w:r>
          </w:p>
        </w:tc>
        <w:tc>
          <w:tcPr>
            <w:tcW w:w="1294" w:type="dxa"/>
            <w:shd w:val="clear" w:color="auto" w:fill="D9E2F3" w:themeFill="accent1" w:themeFillTint="33"/>
            <w:vAlign w:val="center"/>
          </w:tcPr>
          <w:p w14:paraId="29FC9089" w14:textId="77777777" w:rsidR="00B20D87" w:rsidRPr="002E5315" w:rsidRDefault="00B20D87" w:rsidP="007C569F">
            <w:pPr>
              <w:jc w:val="center"/>
              <w:rPr>
                <w:rFonts w:cs="Arial"/>
                <w:b/>
                <w:sz w:val="20"/>
                <w:szCs w:val="20"/>
                <w:lang w:eastAsia="zh-CN"/>
              </w:rPr>
            </w:pPr>
            <w:r w:rsidRPr="002E5315">
              <w:rPr>
                <w:rFonts w:cs="Arial"/>
                <w:b/>
                <w:sz w:val="20"/>
                <w:szCs w:val="20"/>
                <w:lang w:eastAsia="zh-CN"/>
              </w:rPr>
              <w:t>5428</w:t>
            </w:r>
          </w:p>
        </w:tc>
        <w:tc>
          <w:tcPr>
            <w:tcW w:w="833" w:type="dxa"/>
            <w:shd w:val="clear" w:color="auto" w:fill="D9E2F3" w:themeFill="accent1" w:themeFillTint="33"/>
            <w:noWrap/>
            <w:vAlign w:val="center"/>
          </w:tcPr>
          <w:p w14:paraId="5941956F" w14:textId="77777777" w:rsidR="00B20D87" w:rsidRPr="002E5315" w:rsidRDefault="00B20D87" w:rsidP="007C569F">
            <w:pPr>
              <w:jc w:val="center"/>
              <w:rPr>
                <w:rFonts w:cs="Arial"/>
                <w:b/>
                <w:sz w:val="20"/>
                <w:szCs w:val="20"/>
                <w:lang w:eastAsia="zh-CN"/>
              </w:rPr>
            </w:pPr>
            <w:r w:rsidRPr="002E5315">
              <w:rPr>
                <w:rFonts w:cs="Arial"/>
                <w:b/>
                <w:sz w:val="20"/>
                <w:szCs w:val="20"/>
                <w:lang w:eastAsia="zh-CN"/>
              </w:rPr>
              <w:t>784</w:t>
            </w:r>
          </w:p>
        </w:tc>
        <w:tc>
          <w:tcPr>
            <w:tcW w:w="1398" w:type="dxa"/>
            <w:shd w:val="clear" w:color="auto" w:fill="D9E2F3" w:themeFill="accent1" w:themeFillTint="33"/>
            <w:vAlign w:val="center"/>
          </w:tcPr>
          <w:p w14:paraId="440EAFF8"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6,92</w:t>
            </w:r>
          </w:p>
        </w:tc>
        <w:tc>
          <w:tcPr>
            <w:tcW w:w="1276" w:type="dxa"/>
            <w:shd w:val="clear" w:color="auto" w:fill="D9E2F3" w:themeFill="accent1" w:themeFillTint="33"/>
            <w:vAlign w:val="center"/>
          </w:tcPr>
          <w:p w14:paraId="0281A579" w14:textId="279F3842" w:rsidR="00B20D87" w:rsidRPr="002E5315" w:rsidRDefault="00B20D87" w:rsidP="00754B2D">
            <w:pPr>
              <w:jc w:val="center"/>
              <w:rPr>
                <w:rFonts w:cs="Arial"/>
                <w:b/>
                <w:sz w:val="20"/>
                <w:szCs w:val="20"/>
                <w:lang w:eastAsia="zh-CN"/>
              </w:rPr>
            </w:pPr>
            <w:r w:rsidRPr="002E5315">
              <w:rPr>
                <w:rFonts w:cs="Arial"/>
                <w:b/>
                <w:sz w:val="20"/>
                <w:szCs w:val="20"/>
                <w:lang w:eastAsia="zh-CN"/>
              </w:rPr>
              <w:t>14,44</w:t>
            </w:r>
          </w:p>
        </w:tc>
        <w:tc>
          <w:tcPr>
            <w:tcW w:w="1055" w:type="dxa"/>
            <w:shd w:val="clear" w:color="auto" w:fill="D9E2F3" w:themeFill="accent1" w:themeFillTint="33"/>
            <w:vAlign w:val="center"/>
          </w:tcPr>
          <w:p w14:paraId="42B5C768"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5.321</w:t>
            </w:r>
          </w:p>
        </w:tc>
        <w:tc>
          <w:tcPr>
            <w:tcW w:w="1276" w:type="dxa"/>
            <w:shd w:val="clear" w:color="auto" w:fill="D9E2F3" w:themeFill="accent1" w:themeFillTint="33"/>
            <w:vAlign w:val="center"/>
          </w:tcPr>
          <w:p w14:paraId="52AFC051"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6,79</w:t>
            </w:r>
          </w:p>
        </w:tc>
        <w:tc>
          <w:tcPr>
            <w:tcW w:w="806" w:type="dxa"/>
            <w:shd w:val="clear" w:color="auto" w:fill="D9E2F3" w:themeFill="accent1" w:themeFillTint="33"/>
            <w:vAlign w:val="center"/>
          </w:tcPr>
          <w:p w14:paraId="3B71C49C"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14,73</w:t>
            </w:r>
          </w:p>
        </w:tc>
      </w:tr>
      <w:tr w:rsidR="00B20D87" w:rsidRPr="002E5315" w14:paraId="32F98A55" w14:textId="77777777" w:rsidTr="002178F4">
        <w:trPr>
          <w:trHeight w:val="264"/>
          <w:jc w:val="center"/>
        </w:trPr>
        <w:tc>
          <w:tcPr>
            <w:tcW w:w="1099" w:type="dxa"/>
            <w:tcBorders>
              <w:left w:val="nil"/>
              <w:right w:val="nil"/>
            </w:tcBorders>
            <w:shd w:val="clear" w:color="auto" w:fill="FFFFFF" w:themeFill="background1"/>
            <w:noWrap/>
            <w:vAlign w:val="center"/>
            <w:hideMark/>
          </w:tcPr>
          <w:p w14:paraId="3B8DE48D" w14:textId="0F882938" w:rsidR="00B20D87" w:rsidRPr="002E5315" w:rsidRDefault="00B20D87" w:rsidP="007C569F">
            <w:pPr>
              <w:jc w:val="center"/>
              <w:rPr>
                <w:rFonts w:cs="Arial"/>
                <w:b/>
                <w:bCs/>
                <w:sz w:val="20"/>
                <w:szCs w:val="20"/>
                <w:lang w:eastAsia="zh-CN"/>
              </w:rPr>
            </w:pPr>
            <w:r w:rsidRPr="002E5315">
              <w:rPr>
                <w:rFonts w:cs="Arial"/>
                <w:b/>
                <w:bCs/>
                <w:sz w:val="20"/>
                <w:szCs w:val="20"/>
                <w:lang w:eastAsia="zh-CN"/>
              </w:rPr>
              <w:t>Prosječ</w:t>
            </w:r>
            <w:r w:rsidR="00E42F27" w:rsidRPr="002E5315">
              <w:rPr>
                <w:rFonts w:cs="Arial"/>
                <w:b/>
                <w:bCs/>
                <w:sz w:val="20"/>
                <w:szCs w:val="20"/>
                <w:lang w:eastAsia="zh-CN"/>
              </w:rPr>
              <w:t>-</w:t>
            </w:r>
            <w:r w:rsidRPr="002E5315">
              <w:rPr>
                <w:rFonts w:cs="Arial"/>
                <w:b/>
                <w:bCs/>
                <w:sz w:val="20"/>
                <w:szCs w:val="20"/>
                <w:lang w:eastAsia="zh-CN"/>
              </w:rPr>
              <w:t>no</w:t>
            </w:r>
          </w:p>
        </w:tc>
        <w:tc>
          <w:tcPr>
            <w:tcW w:w="1294" w:type="dxa"/>
            <w:tcBorders>
              <w:left w:val="nil"/>
              <w:right w:val="nil"/>
            </w:tcBorders>
            <w:shd w:val="clear" w:color="auto" w:fill="FFFFFF" w:themeFill="background1"/>
            <w:vAlign w:val="center"/>
          </w:tcPr>
          <w:p w14:paraId="4D85C1CD" w14:textId="77777777" w:rsidR="00B20D87" w:rsidRPr="002E5315" w:rsidRDefault="00B20D87" w:rsidP="007C569F">
            <w:pPr>
              <w:jc w:val="center"/>
              <w:rPr>
                <w:rFonts w:cs="Arial"/>
                <w:b/>
                <w:sz w:val="20"/>
                <w:szCs w:val="20"/>
                <w:lang w:eastAsia="zh-CN"/>
              </w:rPr>
            </w:pPr>
            <w:r w:rsidRPr="002E5315">
              <w:rPr>
                <w:rFonts w:cs="Arial"/>
                <w:b/>
                <w:sz w:val="20"/>
                <w:szCs w:val="20"/>
                <w:lang w:eastAsia="zh-CN"/>
              </w:rPr>
              <w:t>775,43</w:t>
            </w:r>
          </w:p>
        </w:tc>
        <w:tc>
          <w:tcPr>
            <w:tcW w:w="833" w:type="dxa"/>
            <w:tcBorders>
              <w:left w:val="nil"/>
              <w:right w:val="nil"/>
            </w:tcBorders>
            <w:shd w:val="clear" w:color="auto" w:fill="FFFFFF" w:themeFill="background1"/>
            <w:noWrap/>
            <w:vAlign w:val="center"/>
            <w:hideMark/>
          </w:tcPr>
          <w:p w14:paraId="1F68A161" w14:textId="77777777" w:rsidR="00B20D87" w:rsidRPr="002E5315" w:rsidRDefault="00B20D87" w:rsidP="007C569F">
            <w:pPr>
              <w:jc w:val="center"/>
              <w:rPr>
                <w:rFonts w:cs="Arial"/>
                <w:b/>
                <w:sz w:val="20"/>
                <w:szCs w:val="20"/>
                <w:lang w:eastAsia="zh-CN"/>
              </w:rPr>
            </w:pPr>
            <w:r w:rsidRPr="002E5315">
              <w:rPr>
                <w:rFonts w:cs="Arial"/>
                <w:b/>
                <w:sz w:val="20"/>
                <w:szCs w:val="20"/>
                <w:lang w:eastAsia="zh-CN"/>
              </w:rPr>
              <w:t>112</w:t>
            </w:r>
          </w:p>
        </w:tc>
        <w:tc>
          <w:tcPr>
            <w:tcW w:w="1398" w:type="dxa"/>
            <w:tcBorders>
              <w:left w:val="nil"/>
              <w:right w:val="nil"/>
            </w:tcBorders>
            <w:shd w:val="clear" w:color="auto" w:fill="FFFFFF" w:themeFill="background1"/>
            <w:vAlign w:val="center"/>
          </w:tcPr>
          <w:p w14:paraId="0C03B9CB"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12,72</w:t>
            </w:r>
          </w:p>
        </w:tc>
        <w:tc>
          <w:tcPr>
            <w:tcW w:w="1276" w:type="dxa"/>
            <w:tcBorders>
              <w:left w:val="nil"/>
              <w:right w:val="nil"/>
            </w:tcBorders>
            <w:shd w:val="clear" w:color="auto" w:fill="FFFFFF" w:themeFill="background1"/>
            <w:vAlign w:val="center"/>
          </w:tcPr>
          <w:p w14:paraId="05FB5307"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12,58</w:t>
            </w:r>
          </w:p>
        </w:tc>
        <w:tc>
          <w:tcPr>
            <w:tcW w:w="1055" w:type="dxa"/>
            <w:tcBorders>
              <w:left w:val="nil"/>
              <w:right w:val="nil"/>
            </w:tcBorders>
            <w:shd w:val="clear" w:color="auto" w:fill="FFFFFF" w:themeFill="background1"/>
            <w:vAlign w:val="center"/>
          </w:tcPr>
          <w:p w14:paraId="15ACE273"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760</w:t>
            </w:r>
          </w:p>
        </w:tc>
        <w:tc>
          <w:tcPr>
            <w:tcW w:w="1276" w:type="dxa"/>
            <w:tcBorders>
              <w:left w:val="nil"/>
              <w:right w:val="nil"/>
            </w:tcBorders>
            <w:shd w:val="clear" w:color="auto" w:fill="FFFFFF" w:themeFill="background1"/>
            <w:vAlign w:val="center"/>
          </w:tcPr>
          <w:p w14:paraId="24782461"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11,9</w:t>
            </w:r>
          </w:p>
        </w:tc>
        <w:tc>
          <w:tcPr>
            <w:tcW w:w="806" w:type="dxa"/>
            <w:tcBorders>
              <w:left w:val="nil"/>
              <w:right w:val="nil"/>
            </w:tcBorders>
            <w:shd w:val="clear" w:color="auto" w:fill="FFFFFF" w:themeFill="background1"/>
            <w:vAlign w:val="center"/>
          </w:tcPr>
          <w:p w14:paraId="30186578" w14:textId="77777777" w:rsidR="00B20D87" w:rsidRPr="002E5315" w:rsidRDefault="00B20D87" w:rsidP="00754B2D">
            <w:pPr>
              <w:jc w:val="center"/>
              <w:rPr>
                <w:rFonts w:cs="Arial"/>
                <w:b/>
                <w:sz w:val="20"/>
                <w:szCs w:val="20"/>
                <w:lang w:eastAsia="zh-CN"/>
              </w:rPr>
            </w:pPr>
            <w:r w:rsidRPr="002E5315">
              <w:rPr>
                <w:rFonts w:cs="Arial"/>
                <w:b/>
                <w:sz w:val="20"/>
                <w:szCs w:val="20"/>
                <w:lang w:eastAsia="zh-CN"/>
              </w:rPr>
              <w:t>8,81</w:t>
            </w:r>
          </w:p>
        </w:tc>
      </w:tr>
    </w:tbl>
    <w:p w14:paraId="3311C00C" w14:textId="77777777" w:rsidR="00633D93" w:rsidRDefault="00C22289" w:rsidP="00C22289">
      <w:pPr>
        <w:shd w:val="clear" w:color="auto" w:fill="FFFFFF" w:themeFill="background1"/>
        <w:spacing w:before="240"/>
        <w:rPr>
          <w:rFonts w:cstheme="minorHAnsi"/>
          <w:szCs w:val="23"/>
        </w:rPr>
      </w:pPr>
      <w:r w:rsidRPr="002E5315">
        <w:rPr>
          <w:rFonts w:cstheme="minorHAnsi"/>
          <w:szCs w:val="23"/>
        </w:rPr>
        <w:t>Prilikom tumačenja ovih podataka treba imati u vidu da su aktivnošću jednog korisnika po zahtjevima za pristup informacijama pokrenuta 122 upravna spora, od čega je korisnik sam pokrenuo 86 postupaka, a ostalih 36 tijela javne vlasti. Dakle, ako se izostave ti postupci, ostaje podatak da su ostali tužitelji pokrenuli 56 upravnih sporova, što je podatak na razini onog iz 2017., kad je taj broj bio 60</w:t>
      </w:r>
      <w:r w:rsidR="00633D93">
        <w:rPr>
          <w:rFonts w:cstheme="minorHAnsi"/>
          <w:szCs w:val="23"/>
        </w:rPr>
        <w:t>.</w:t>
      </w:r>
    </w:p>
    <w:p w14:paraId="7310DE4F" w14:textId="54509931" w:rsidR="00B20D87" w:rsidRPr="002E5315" w:rsidRDefault="00C22289" w:rsidP="00C22289">
      <w:pPr>
        <w:shd w:val="clear" w:color="auto" w:fill="FFFFFF" w:themeFill="background1"/>
        <w:rPr>
          <w:rFonts w:cstheme="minorHAnsi"/>
          <w:szCs w:val="23"/>
        </w:rPr>
      </w:pPr>
      <w:r w:rsidRPr="002E5315">
        <w:rPr>
          <w:rFonts w:cstheme="minorHAnsi"/>
          <w:szCs w:val="23"/>
        </w:rPr>
        <w:lastRenderedPageBreak/>
        <w:t>U 2019. je zbog šutnje Povjerenika pokrenuto 64 upravna spora, što znači da je po prvi put taj broj smanjen u odnosu na prethodnu godinu (kada je takvih sporova pokrenuto 125), i to za 48,8%.</w:t>
      </w:r>
      <w:r w:rsidRPr="002E5315">
        <w:rPr>
          <w:rFonts w:cstheme="minorHAnsi"/>
          <w:b/>
          <w:color w:val="FF0000"/>
          <w:szCs w:val="23"/>
        </w:rPr>
        <w:t xml:space="preserve"> </w:t>
      </w:r>
      <w:r w:rsidRPr="002E5315">
        <w:rPr>
          <w:rFonts w:cstheme="minorHAnsi"/>
          <w:szCs w:val="23"/>
        </w:rPr>
        <w:t>Naime, u prethodnom razdoblju broj pokrenutih upravnih sporova zbog šutnje Povjerenika bio je u stalnom porastu, a što je vidljivo iz činjenice da je u 2014. iz navedenog razloga pokrenuto 3 upravna spora, u 2015. 7, u 2016. 8, u 2017. 30 te 125 u 2018</w:t>
      </w:r>
      <w:r w:rsidR="00B20D87" w:rsidRPr="002E5315">
        <w:rPr>
          <w:rFonts w:cstheme="minorHAnsi"/>
          <w:szCs w:val="23"/>
        </w:rPr>
        <w:t>.</w:t>
      </w:r>
    </w:p>
    <w:p w14:paraId="692D7781" w14:textId="7ACD46F6" w:rsidR="00B20D87" w:rsidRPr="002E5315" w:rsidRDefault="00B20D87" w:rsidP="00E42F27">
      <w:pPr>
        <w:pStyle w:val="Naslov3"/>
      </w:pPr>
      <w:bookmarkStart w:id="43" w:name="_Toc36308948"/>
      <w:r w:rsidRPr="002E5315">
        <w:t>Troškovi upravnog spora</w:t>
      </w:r>
      <w:bookmarkEnd w:id="43"/>
    </w:p>
    <w:p w14:paraId="19B0CE5E" w14:textId="77777777" w:rsidR="00C22289" w:rsidRPr="002E5315" w:rsidRDefault="00C22289" w:rsidP="00C22289">
      <w:pPr>
        <w:shd w:val="clear" w:color="auto" w:fill="FFFFFF" w:themeFill="background1"/>
        <w:rPr>
          <w:rFonts w:cs="Segoe UI"/>
          <w:szCs w:val="23"/>
        </w:rPr>
      </w:pPr>
      <w:r w:rsidRPr="002E5315">
        <w:rPr>
          <w:rFonts w:cs="Segoe UI"/>
          <w:szCs w:val="23"/>
        </w:rPr>
        <w:t>ZPPI u članku 19. propisuje da se na pristup informacijama u postupcima pred tijelima javne vlasti ne plaćaju upravne i sudske pristojbe te da tijelo javne vlasti ima pravo tražiti od korisnika naknadu stvarnih materijalnih troškova koji nastanu pružanjem informacije, sukladno Kriterijima za određivanje visine naknade stvarnih materijalnih troškova i troškova dostave informacije, sa svrhom olakšavanja korisnicima ostvarivanje ustavnog prava građana, sa što manje troškova.</w:t>
      </w:r>
    </w:p>
    <w:p w14:paraId="2EE99BBB" w14:textId="77777777" w:rsidR="00C22289" w:rsidRPr="002E5315" w:rsidRDefault="00C22289" w:rsidP="00C22289">
      <w:pPr>
        <w:shd w:val="clear" w:color="auto" w:fill="FFFFFF" w:themeFill="background1"/>
        <w:rPr>
          <w:rFonts w:cs="Segoe UI"/>
          <w:szCs w:val="23"/>
        </w:rPr>
      </w:pPr>
      <w:r w:rsidRPr="002E5315">
        <w:rPr>
          <w:rFonts w:cs="Segoe UI"/>
          <w:szCs w:val="23"/>
        </w:rPr>
        <w:t>Stupanjem na snagu Zakona o izmjenama i dopunama Zakona o upravnim sporovima (NN 29/17), u primjeni je novi članak 79. Zakona o upravnim sporovima, prema kojem stranka koja izgubi spor u cijelosti snosi sve troškove spora, ako zakonom nije drukčije propisano. Troškove spora čine opravdani izdaci učinjeni u tijeku ili u povodu spora, uključujući i nagradu za rad odvjetnika i drugih osoba koje imaju pravo na zakonom propisanu naknadu, a vrijednost predmeta spora smatra se neprocjenjivom. Ako stranka djelomično uspije u sporu, sud može, s obzirom na postignuti uspjeh, odrediti da svaka stranka snosi svoje troškove ili da se troškovi raspodijele razmjerno uspjehu u sporu. Stranka koja je povukla tužbu, žalbu ili drugi prijedlog koji je prouzročio troškove drugim strankama snosi troškove i tim strankama. O troškovima spora sud može odlučiti zajedno s odlukom o glavnoj stvari ili posebnim rješenjem u roku od 15 dana od dana objave presude, na koje je dopuštena žalba.</w:t>
      </w:r>
    </w:p>
    <w:p w14:paraId="0E983144" w14:textId="77777777" w:rsidR="00633D93" w:rsidRDefault="00C22289" w:rsidP="00C22289">
      <w:pPr>
        <w:shd w:val="clear" w:color="auto" w:fill="FFFFFF" w:themeFill="background1"/>
        <w:rPr>
          <w:rFonts w:cs="Segoe UI"/>
          <w:bCs/>
          <w:szCs w:val="23"/>
        </w:rPr>
      </w:pPr>
      <w:r w:rsidRPr="002E5315">
        <w:rPr>
          <w:rFonts w:cs="Segoe UI"/>
          <w:szCs w:val="23"/>
        </w:rPr>
        <w:t xml:space="preserve">Prema podacima, </w:t>
      </w:r>
      <w:r w:rsidRPr="002E5315">
        <w:rPr>
          <w:rFonts w:cs="Segoe UI"/>
          <w:bCs/>
          <w:szCs w:val="23"/>
        </w:rPr>
        <w:t>u 51 upravnom sporu pokrenutom u 2019. sudjelovali su odvjetnici kao zastupnici stranaka</w:t>
      </w:r>
      <w:r w:rsidR="00633D93">
        <w:rPr>
          <w:rFonts w:cs="Segoe UI"/>
          <w:bCs/>
          <w:szCs w:val="23"/>
        </w:rPr>
        <w:t>.</w:t>
      </w:r>
    </w:p>
    <w:p w14:paraId="782E7F2E" w14:textId="4B015EA1" w:rsidR="00C22289" w:rsidRPr="002E5315" w:rsidRDefault="00C22289" w:rsidP="00C22289">
      <w:pPr>
        <w:shd w:val="clear" w:color="auto" w:fill="FFFFFF" w:themeFill="background1"/>
        <w:rPr>
          <w:rFonts w:cs="Segoe UI"/>
          <w:szCs w:val="23"/>
        </w:rPr>
      </w:pPr>
      <w:r w:rsidRPr="002E5315">
        <w:rPr>
          <w:rFonts w:cs="Segoe UI"/>
          <w:szCs w:val="23"/>
        </w:rPr>
        <w:t xml:space="preserve">Analizom odluka Visokog upravnog suda RH koje su zaprimljene u 2019. (od kojih se 55 odluka odnosi na sporove koji su pokrenuti u ranijem razdoblju 2017/2018) utvrđeno je da je </w:t>
      </w:r>
      <w:r w:rsidRPr="002E5315">
        <w:rPr>
          <w:rFonts w:cs="Segoe UI"/>
          <w:b/>
          <w:szCs w:val="23"/>
        </w:rPr>
        <w:t>u 46 sporova zatražena naknada troškova, od kojih je u 38 slučajeva odbijen takav zahtjev</w:t>
      </w:r>
      <w:r w:rsidRPr="002E5315">
        <w:rPr>
          <w:rFonts w:cs="Segoe UI"/>
          <w:szCs w:val="23"/>
        </w:rPr>
        <w:t>. U 5 predmeta je naložena naknada troškova od strane tuženika (10.625,00kn), a u 3 slučaja naknada troškova od strane tužitelja zainteresiranoj osobi (10.625,00kn).</w:t>
      </w:r>
    </w:p>
    <w:p w14:paraId="37F96E1E" w14:textId="77777777" w:rsidR="00633D93" w:rsidRDefault="00C22289" w:rsidP="00C22289">
      <w:pPr>
        <w:shd w:val="clear" w:color="auto" w:fill="FFFFFF" w:themeFill="background1"/>
        <w:rPr>
          <w:rFonts w:cs="Segoe UI"/>
          <w:bCs/>
          <w:szCs w:val="23"/>
        </w:rPr>
      </w:pPr>
      <w:r w:rsidRPr="002E5315">
        <w:rPr>
          <w:rFonts w:cs="Segoe UI"/>
          <w:szCs w:val="23"/>
        </w:rPr>
        <w:t xml:space="preserve">U odnosu na trend povećanja broja upravnih sporova i uređenja naknade troškova po Zakonu o upravnim sporovima, dolazi do potencijalno problematične situacije za Povjerenika kao tuženika u upravnim sporovima, s obzirom da njegova rješenja (ili šutnju) osporavaju pred Visokim upravnim sudom RH ili tijelo javne vlasti ili korisnik. </w:t>
      </w:r>
      <w:r w:rsidRPr="002E5315">
        <w:rPr>
          <w:rFonts w:cs="Segoe UI"/>
          <w:bCs/>
          <w:szCs w:val="23"/>
        </w:rPr>
        <w:t>Pristup Visokom upravnom sudu RH je olakšan nenaplatom sudskih pristojbi te tužitelji snose relativno nizak rizik podnošenja tužbe. Istovremeno</w:t>
      </w:r>
      <w:r w:rsidRPr="002E5315">
        <w:rPr>
          <w:rFonts w:cs="Segoe UI"/>
          <w:szCs w:val="23"/>
        </w:rPr>
        <w:t>,</w:t>
      </w:r>
      <w:r w:rsidR="00954DB8" w:rsidRPr="002E5315">
        <w:rPr>
          <w:rFonts w:cs="Segoe UI"/>
          <w:szCs w:val="23"/>
        </w:rPr>
        <w:t xml:space="preserve"> </w:t>
      </w:r>
      <w:r w:rsidRPr="002E5315">
        <w:rPr>
          <w:rFonts w:cs="Segoe UI"/>
          <w:szCs w:val="23"/>
        </w:rPr>
        <w:t>porast broja žalbi, kratkoća rokova za odlučivanje po žalbi, ograničeni kapaciteti Povjerenika u odnosu na broj prvostupanjskih tijela i neograničene mogućnosti podnošenja zahtjeva, kao i pogodnost režima pristupa informacijama za moguću zlouporabu, često kratkom roku od 8 ili 15 dana za odgovor na tužbu, odugovlačenje prvostupanjskih tijela u žalbenom postupku</w:t>
      </w:r>
      <w:r w:rsidRPr="002E5315">
        <w:rPr>
          <w:rFonts w:cs="Segoe UI"/>
          <w:b/>
          <w:szCs w:val="23"/>
        </w:rPr>
        <w:t xml:space="preserve"> </w:t>
      </w:r>
      <w:r w:rsidRPr="002E5315">
        <w:rPr>
          <w:rFonts w:cs="Segoe UI"/>
          <w:bCs/>
          <w:szCs w:val="23"/>
        </w:rPr>
        <w:t>- izlažu Povjerenika mogućoj opasnosti dosude troškova u smislu nemogućnosti rješavanja žalbenih predmeta te time štete za državni proračun</w:t>
      </w:r>
      <w:r w:rsidR="00633D93">
        <w:rPr>
          <w:rFonts w:cs="Segoe UI"/>
          <w:bCs/>
          <w:szCs w:val="23"/>
        </w:rPr>
        <w:t>.</w:t>
      </w:r>
    </w:p>
    <w:p w14:paraId="09532298" w14:textId="7FA6AAF5" w:rsidR="00B20D87" w:rsidRPr="002E5315" w:rsidRDefault="00C22289" w:rsidP="00C22289">
      <w:pPr>
        <w:shd w:val="clear" w:color="auto" w:fill="FFFFFF" w:themeFill="background1"/>
        <w:rPr>
          <w:rFonts w:cs="Segoe UI"/>
          <w:szCs w:val="23"/>
        </w:rPr>
      </w:pPr>
      <w:r w:rsidRPr="002E5315">
        <w:rPr>
          <w:rFonts w:cs="Segoe UI"/>
          <w:szCs w:val="23"/>
        </w:rPr>
        <w:lastRenderedPageBreak/>
        <w:t>Ovakvo uređenje otvara pitanje sustava troškova kod pristupa informacijama jer se u prvostupanjskom, žalbenom i sudskom postupku ne naplaćuju upravne i sudske pristojbe, dok su Povjerenik i tijela javne vlasti, a i Visoki upravni sud RH (te time državni proračun) izloženi potencijalnim financijskim troškovima dosuđenim u upravnom sporu</w:t>
      </w:r>
      <w:r w:rsidR="00B20D87" w:rsidRPr="002E5315">
        <w:rPr>
          <w:rFonts w:cs="Segoe UI"/>
          <w:szCs w:val="23"/>
        </w:rPr>
        <w:t>.</w:t>
      </w:r>
    </w:p>
    <w:p w14:paraId="5562D30C" w14:textId="1FBE794D" w:rsidR="00B20D87" w:rsidRPr="002E5315" w:rsidRDefault="00B20D87" w:rsidP="00F635D3">
      <w:pPr>
        <w:pStyle w:val="Naslov2"/>
      </w:pPr>
      <w:bookmarkStart w:id="44" w:name="_Toc36308949"/>
      <w:r w:rsidRPr="002E5315">
        <w:t>Postupci pred Vrhovnim sudom Republike Hrvatske</w:t>
      </w:r>
      <w:bookmarkEnd w:id="44"/>
    </w:p>
    <w:p w14:paraId="2E09808B" w14:textId="77777777" w:rsidR="00633D93" w:rsidRDefault="00C22289" w:rsidP="00C22289">
      <w:pPr>
        <w:shd w:val="clear" w:color="auto" w:fill="FFFFFF" w:themeFill="background1"/>
        <w:rPr>
          <w:rFonts w:cs="Segoe UI"/>
          <w:szCs w:val="23"/>
        </w:rPr>
      </w:pPr>
      <w:r w:rsidRPr="002E5315">
        <w:rPr>
          <w:rFonts w:cs="Segoe UI"/>
          <w:szCs w:val="23"/>
        </w:rPr>
        <w:t>Tijekom 2019. Povjerenik je zaprimio je 5 presuda Vrhovnog suda RH, u</w:t>
      </w:r>
      <w:r w:rsidRPr="002E5315">
        <w:rPr>
          <w:rFonts w:cs="Segoe UI"/>
          <w:color w:val="0070C0"/>
          <w:szCs w:val="23"/>
        </w:rPr>
        <w:t xml:space="preserve"> </w:t>
      </w:r>
      <w:r w:rsidRPr="002E5315">
        <w:rPr>
          <w:rFonts w:cs="Segoe UI"/>
          <w:szCs w:val="23"/>
        </w:rPr>
        <w:t>predmetima u kojima je Državno odvjetništvo RH na prijedlog HBOR-a, podnijelo Vrhovnom sudu RH zahtjev za izvanredno preispitivanje zakonitosti pravomoćne presude Visokog upravnog RH</w:t>
      </w:r>
      <w:r w:rsidR="00633D93">
        <w:rPr>
          <w:rFonts w:cs="Segoe UI"/>
          <w:szCs w:val="23"/>
        </w:rPr>
        <w:t>.</w:t>
      </w:r>
    </w:p>
    <w:p w14:paraId="203F0FD4" w14:textId="77024B23" w:rsidR="00C22289" w:rsidRPr="002E5315" w:rsidRDefault="00C22289" w:rsidP="00C22289">
      <w:pPr>
        <w:shd w:val="clear" w:color="auto" w:fill="FFFFFF" w:themeFill="background1"/>
        <w:rPr>
          <w:rFonts w:cs="Segoe UI"/>
          <w:szCs w:val="23"/>
        </w:rPr>
      </w:pPr>
      <w:r w:rsidRPr="002E5315">
        <w:rPr>
          <w:rFonts w:cs="Segoe UI"/>
          <w:szCs w:val="23"/>
        </w:rPr>
        <w:t>Presudama Vrhovnog suda RH Broj: U-zpz 7/2016-7 20. studenoga 2018., Broj: U-zpz 14/2018-4 od 9. siječnja 2019., Broj: U-zpz 11/2018-7 6. veljače 2019.,</w:t>
      </w:r>
      <w:r w:rsidRPr="002E5315">
        <w:rPr>
          <w:rFonts w:cs="Segoe UI"/>
          <w:color w:val="FF0000"/>
          <w:szCs w:val="23"/>
        </w:rPr>
        <w:t xml:space="preserve"> </w:t>
      </w:r>
      <w:r w:rsidRPr="002E5315">
        <w:rPr>
          <w:rFonts w:cs="Segoe UI"/>
          <w:szCs w:val="23"/>
        </w:rPr>
        <w:t>Broj: U-zpz 13/2018-4 od 19. ožujka 2019., i Broj: U-zpz 12/2018-7 od 22. listopada 2019.,</w:t>
      </w:r>
      <w:r w:rsidRPr="002E5315">
        <w:rPr>
          <w:rFonts w:cs="Segoe UI"/>
          <w:color w:val="0070C0"/>
          <w:szCs w:val="23"/>
        </w:rPr>
        <w:t xml:space="preserve"> </w:t>
      </w:r>
      <w:r w:rsidRPr="002E5315">
        <w:rPr>
          <w:rFonts w:cs="Segoe UI"/>
          <w:szCs w:val="23"/>
        </w:rPr>
        <w:t>odbijeni su zahtjevi za izvanredno preispitivanje zakonitosti pravomoćne presude Visokog upravnog RH, kao neosnovani.</w:t>
      </w:r>
    </w:p>
    <w:p w14:paraId="1A3A234E" w14:textId="77777777" w:rsidR="00633D93" w:rsidRDefault="00C22289" w:rsidP="00C22289">
      <w:pPr>
        <w:shd w:val="clear" w:color="auto" w:fill="FFFFFF" w:themeFill="background1"/>
        <w:rPr>
          <w:rFonts w:cs="Segoe UI"/>
          <w:szCs w:val="23"/>
        </w:rPr>
      </w:pPr>
      <w:r w:rsidRPr="002E5315">
        <w:rPr>
          <w:rFonts w:cs="Segoe UI"/>
          <w:szCs w:val="23"/>
        </w:rPr>
        <w:t>Navedenim presudama Visokog upravnog suda RH potvrđene su odluke Povjerenika kojima je poništio rješenja HBOR-a i naložio HBOR-u da korisniku omogući pristup informacijama o popisu fizičkih osoba kojima je HBOR isplatio honorare od siječnja 2010. do siječnja 2014., korisnicima kredita, nazivu projekta i namjeni kredita,</w:t>
      </w:r>
      <w:r w:rsidR="00954DB8" w:rsidRPr="002E5315">
        <w:rPr>
          <w:rFonts w:cs="Segoe UI"/>
          <w:szCs w:val="23"/>
        </w:rPr>
        <w:t xml:space="preserve"> </w:t>
      </w:r>
      <w:r w:rsidRPr="002E5315">
        <w:rPr>
          <w:rFonts w:cs="Segoe UI"/>
          <w:szCs w:val="23"/>
        </w:rPr>
        <w:t>te informacijama o održavanju sjednica Nadzornog odbora HBOR-a u 2015. te dnevnim redovima i pozivima za pisano izjašnjavanje</w:t>
      </w:r>
      <w:r w:rsidR="00633D93">
        <w:rPr>
          <w:rFonts w:cs="Segoe UI"/>
          <w:szCs w:val="23"/>
        </w:rPr>
        <w:t>.</w:t>
      </w:r>
    </w:p>
    <w:p w14:paraId="27050FE7" w14:textId="3D950DAB" w:rsidR="00B20D87" w:rsidRPr="002E5315" w:rsidRDefault="00B20D87" w:rsidP="00BA3388">
      <w:pPr>
        <w:pStyle w:val="Naslov2"/>
      </w:pPr>
      <w:bookmarkStart w:id="45" w:name="_Toc36308950"/>
      <w:r w:rsidRPr="002E5315">
        <w:t>Ustavne tužbe</w:t>
      </w:r>
      <w:bookmarkEnd w:id="45"/>
      <w:r w:rsidRPr="002E5315">
        <w:t xml:space="preserve"> </w:t>
      </w:r>
    </w:p>
    <w:p w14:paraId="083FD5DB" w14:textId="0C08D8B2" w:rsidR="00B20D87" w:rsidRPr="002E5315" w:rsidRDefault="00C22289" w:rsidP="00B20D87">
      <w:pPr>
        <w:shd w:val="clear" w:color="auto" w:fill="FFFFFF" w:themeFill="background1"/>
        <w:rPr>
          <w:rFonts w:cs="Segoe UI"/>
          <w:szCs w:val="23"/>
        </w:rPr>
      </w:pPr>
      <w:r w:rsidRPr="002E5315">
        <w:rPr>
          <w:rFonts w:cs="Segoe UI"/>
          <w:szCs w:val="23"/>
        </w:rPr>
        <w:t>Prema podacima koje je Povjerenik zaprimio od Ustavnog suda RH, Ustavni sud RH je tijekom 2019. zaprimio 22 ustavne tužbe u svrhu zaštite ustavnog prava građana na pristup informacijama po kojima je donio odluke u 13 predmeta, dok u 9 predmeta postupak nije bio dovršen u 2019. Ustavni sud R</w:t>
      </w:r>
      <w:r w:rsidR="00C77769">
        <w:rPr>
          <w:rFonts w:cs="Segoe UI"/>
          <w:szCs w:val="23"/>
        </w:rPr>
        <w:t>H</w:t>
      </w:r>
      <w:r w:rsidRPr="002E5315">
        <w:rPr>
          <w:rFonts w:cs="Segoe UI"/>
          <w:szCs w:val="23"/>
        </w:rPr>
        <w:t xml:space="preserve"> je izvijestio Povjerenika da je tijekom 2019. riješio 41 predmet iz 2018. g, a da je iz te godine još u tijeku postupak u 3 predmeta. Iz dostavljenih podataka je vidljivo da je Ustavni sud RH odbacio 13 tužbi iz 2019. te 41 iz 2018</w:t>
      </w:r>
      <w:r w:rsidR="00B20D87" w:rsidRPr="002E5315">
        <w:rPr>
          <w:rFonts w:cs="Segoe UI"/>
          <w:szCs w:val="23"/>
        </w:rPr>
        <w:t>.</w:t>
      </w:r>
    </w:p>
    <w:p w14:paraId="757A594B" w14:textId="65967FB7" w:rsidR="007C569F" w:rsidRPr="002E5315" w:rsidRDefault="007C569F" w:rsidP="0048395E">
      <w:pPr>
        <w:pStyle w:val="Naslov1"/>
      </w:pPr>
      <w:bookmarkStart w:id="46" w:name="_Toc477440649"/>
      <w:bookmarkStart w:id="47" w:name="_Toc36308951"/>
      <w:r w:rsidRPr="002E5315">
        <w:t>Predstavke</w:t>
      </w:r>
      <w:bookmarkEnd w:id="46"/>
      <w:r w:rsidRPr="002E5315">
        <w:t xml:space="preserve"> korisnika na rad tijela javne vlasti</w:t>
      </w:r>
      <w:bookmarkEnd w:id="47"/>
    </w:p>
    <w:p w14:paraId="30A77400" w14:textId="77777777" w:rsidR="009A2FA8" w:rsidRPr="002E5315" w:rsidRDefault="009A2FA8" w:rsidP="009A2FA8">
      <w:pPr>
        <w:rPr>
          <w:szCs w:val="23"/>
        </w:rPr>
      </w:pPr>
      <w:r w:rsidRPr="002E5315">
        <w:rPr>
          <w:szCs w:val="23"/>
        </w:rPr>
        <w:t>Predstavkama građani i drugi korisnici prava na pristup informacijama ukazuju na moguće nepravilnosti u primjeni odredbi ZPPI-ja, a postupajući po njima Ured povjerenika upozorava tijela na nepravilno postupanje, traži uklanjanje nepravilnosti i izvješće o poduzetom. Riječ je o načinu postupanja prije provedbe samog inspekcijskog nadzora, koji ima za cilj na brži i jednostavniji način uskladiti postupanje tijela sa Zakonom. U slučajevima višekratno ponavljane ogluhe na upozorenje povjerenika, provodi se ciljani posredni inspekcijski nadzor i izriču mjere kojima se naređuje otklanjanje utvrđenih nezakonitosti.</w:t>
      </w:r>
    </w:p>
    <w:p w14:paraId="0AC70211" w14:textId="77777777" w:rsidR="00633D93" w:rsidRDefault="009A2FA8" w:rsidP="009A2FA8">
      <w:pPr>
        <w:tabs>
          <w:tab w:val="left" w:pos="-1843"/>
        </w:tabs>
        <w:rPr>
          <w:rFonts w:cs="Segoe UI"/>
          <w:szCs w:val="23"/>
        </w:rPr>
      </w:pPr>
      <w:r w:rsidRPr="002E5315">
        <w:rPr>
          <w:rFonts w:cs="Segoe UI"/>
          <w:szCs w:val="23"/>
        </w:rPr>
        <w:lastRenderedPageBreak/>
        <w:t>Tijekom 2019. Ured povjerenika je zaprimio 252 predstavke. Iz ranijeg razdoblja (2013.-2018.) ostalo je neriješeno ukupno 190 predstavki koje su se rješavale tijekom 2019., što znači da su 2019. u radu bile ukupno 442 predstavke. Tijekom 2019</w:t>
      </w:r>
      <w:r w:rsidRPr="002E5315">
        <w:rPr>
          <w:rFonts w:cs="Segoe UI"/>
          <w:b/>
          <w:bCs/>
          <w:szCs w:val="23"/>
        </w:rPr>
        <w:t>. riješeno je ukupno 364 predstavki</w:t>
      </w:r>
      <w:r w:rsidRPr="002E5315">
        <w:rPr>
          <w:rFonts w:cs="Segoe UI"/>
          <w:szCs w:val="23"/>
        </w:rPr>
        <w:t xml:space="preserve"> (150 iz ranijih godina i 214 iz 2019.) </w:t>
      </w:r>
      <w:r w:rsidRPr="002E5315">
        <w:rPr>
          <w:rFonts w:cs="Segoe UI"/>
          <w:b/>
          <w:bCs/>
          <w:szCs w:val="23"/>
        </w:rPr>
        <w:t>ili 82,35% svih predstavki u radu</w:t>
      </w:r>
      <w:r w:rsidR="00633D93">
        <w:rPr>
          <w:rFonts w:cs="Segoe UI"/>
          <w:szCs w:val="23"/>
        </w:rPr>
        <w:t>.</w:t>
      </w:r>
    </w:p>
    <w:p w14:paraId="2C4AEC22" w14:textId="60612B4D" w:rsidR="007C569F" w:rsidRPr="002E5315" w:rsidRDefault="0048395E" w:rsidP="0048395E">
      <w:pPr>
        <w:keepNext/>
        <w:tabs>
          <w:tab w:val="left" w:pos="-1843"/>
        </w:tabs>
        <w:spacing w:before="240"/>
        <w:rPr>
          <w:rFonts w:cs="Segoe UI"/>
          <w:sz w:val="22"/>
          <w:szCs w:val="22"/>
        </w:rPr>
      </w:pPr>
      <w:r w:rsidRPr="002E5315">
        <w:rPr>
          <w:rFonts w:cs="Segoe UI"/>
          <w:sz w:val="20"/>
          <w:szCs w:val="20"/>
        </w:rPr>
        <w:t>Tablica 4.1. Predstavke korisnika na rad tijela javne vlasti</w:t>
      </w:r>
    </w:p>
    <w:tbl>
      <w:tblPr>
        <w:tblStyle w:val="LightShading-Accent11"/>
        <w:tblW w:w="9214" w:type="dxa"/>
        <w:tblLook w:val="04A0" w:firstRow="1" w:lastRow="0" w:firstColumn="1" w:lastColumn="0" w:noHBand="0" w:noVBand="1"/>
      </w:tblPr>
      <w:tblGrid>
        <w:gridCol w:w="2127"/>
        <w:gridCol w:w="1984"/>
        <w:gridCol w:w="1676"/>
        <w:gridCol w:w="1700"/>
        <w:gridCol w:w="1727"/>
      </w:tblGrid>
      <w:tr w:rsidR="007C569F" w:rsidRPr="002E5315" w14:paraId="046D0CBB" w14:textId="77777777" w:rsidTr="0048395E">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51518F78" w14:textId="77777777" w:rsidR="007C569F" w:rsidRPr="002E5315" w:rsidRDefault="007C569F" w:rsidP="007C569F">
            <w:pPr>
              <w:tabs>
                <w:tab w:val="left" w:pos="-1843"/>
              </w:tabs>
              <w:jc w:val="center"/>
              <w:rPr>
                <w:rFonts w:cs="Segoe UI"/>
                <w:b w:val="0"/>
                <w:bCs w:val="0"/>
                <w:color w:val="auto"/>
                <w:sz w:val="20"/>
                <w:szCs w:val="20"/>
              </w:rPr>
            </w:pPr>
            <w:r w:rsidRPr="002E5315">
              <w:rPr>
                <w:rFonts w:cs="Segoe UI"/>
                <w:b w:val="0"/>
                <w:bCs w:val="0"/>
                <w:color w:val="auto"/>
                <w:sz w:val="20"/>
                <w:szCs w:val="20"/>
              </w:rPr>
              <w:t xml:space="preserve">Predstavke u radu </w:t>
            </w:r>
            <w:r w:rsidRPr="002E5315">
              <w:rPr>
                <w:rFonts w:cs="Segoe UI"/>
                <w:b w:val="0"/>
                <w:bCs w:val="0"/>
                <w:color w:val="auto"/>
                <w:sz w:val="20"/>
                <w:szCs w:val="20"/>
              </w:rPr>
              <w:br/>
              <w:t>u 2019. godini</w:t>
            </w:r>
          </w:p>
        </w:tc>
        <w:tc>
          <w:tcPr>
            <w:tcW w:w="1984" w:type="dxa"/>
            <w:vAlign w:val="center"/>
            <w:hideMark/>
          </w:tcPr>
          <w:p w14:paraId="40F9D47F" w14:textId="77777777" w:rsidR="007C569F" w:rsidRPr="002E5315" w:rsidRDefault="007C569F" w:rsidP="007C569F">
            <w:pPr>
              <w:tabs>
                <w:tab w:val="left" w:pos="-1843"/>
              </w:tabs>
              <w:jc w:val="center"/>
              <w:cnfStyle w:val="100000000000" w:firstRow="1" w:lastRow="0" w:firstColumn="0" w:lastColumn="0" w:oddVBand="0" w:evenVBand="0" w:oddHBand="0" w:evenHBand="0" w:firstRowFirstColumn="0" w:firstRowLastColumn="0" w:lastRowFirstColumn="0" w:lastRowLastColumn="0"/>
              <w:rPr>
                <w:rFonts w:cs="Segoe UI"/>
                <w:b w:val="0"/>
                <w:bCs w:val="0"/>
                <w:color w:val="auto"/>
                <w:sz w:val="20"/>
                <w:szCs w:val="20"/>
              </w:rPr>
            </w:pPr>
            <w:r w:rsidRPr="002E5315">
              <w:rPr>
                <w:rFonts w:cs="Segoe UI"/>
                <w:b w:val="0"/>
                <w:bCs w:val="0"/>
                <w:color w:val="auto"/>
                <w:sz w:val="20"/>
                <w:szCs w:val="20"/>
              </w:rPr>
              <w:t>preneseno / zaprimljeno</w:t>
            </w:r>
          </w:p>
        </w:tc>
        <w:tc>
          <w:tcPr>
            <w:tcW w:w="1676" w:type="dxa"/>
            <w:vAlign w:val="center"/>
            <w:hideMark/>
          </w:tcPr>
          <w:p w14:paraId="4B59E72D" w14:textId="77777777" w:rsidR="007C569F" w:rsidRPr="002E5315" w:rsidRDefault="007C569F" w:rsidP="007C569F">
            <w:pPr>
              <w:tabs>
                <w:tab w:val="left" w:pos="-1843"/>
              </w:tabs>
              <w:jc w:val="center"/>
              <w:cnfStyle w:val="100000000000" w:firstRow="1" w:lastRow="0" w:firstColumn="0" w:lastColumn="0" w:oddVBand="0" w:evenVBand="0" w:oddHBand="0" w:evenHBand="0" w:firstRowFirstColumn="0" w:firstRowLastColumn="0" w:lastRowFirstColumn="0" w:lastRowLastColumn="0"/>
              <w:rPr>
                <w:rFonts w:cs="Segoe UI"/>
                <w:b w:val="0"/>
                <w:bCs w:val="0"/>
                <w:color w:val="auto"/>
                <w:sz w:val="20"/>
                <w:szCs w:val="20"/>
              </w:rPr>
            </w:pPr>
            <w:r w:rsidRPr="002E5315">
              <w:rPr>
                <w:rFonts w:cs="Segoe UI"/>
                <w:b w:val="0"/>
                <w:bCs w:val="0"/>
                <w:color w:val="auto"/>
                <w:sz w:val="20"/>
                <w:szCs w:val="20"/>
              </w:rPr>
              <w:t>Riješeno u 2019.</w:t>
            </w:r>
          </w:p>
        </w:tc>
        <w:tc>
          <w:tcPr>
            <w:tcW w:w="1700" w:type="dxa"/>
            <w:vAlign w:val="center"/>
            <w:hideMark/>
          </w:tcPr>
          <w:p w14:paraId="5306776C" w14:textId="77777777" w:rsidR="007C569F" w:rsidRPr="002E5315" w:rsidRDefault="007C569F" w:rsidP="007C569F">
            <w:pPr>
              <w:tabs>
                <w:tab w:val="left" w:pos="-1843"/>
              </w:tabs>
              <w:jc w:val="center"/>
              <w:cnfStyle w:val="100000000000" w:firstRow="1" w:lastRow="0" w:firstColumn="0" w:lastColumn="0" w:oddVBand="0" w:evenVBand="0" w:oddHBand="0" w:evenHBand="0" w:firstRowFirstColumn="0" w:firstRowLastColumn="0" w:lastRowFirstColumn="0" w:lastRowLastColumn="0"/>
              <w:rPr>
                <w:rFonts w:cs="Segoe UI"/>
                <w:b w:val="0"/>
                <w:bCs w:val="0"/>
                <w:color w:val="auto"/>
                <w:sz w:val="20"/>
                <w:szCs w:val="20"/>
              </w:rPr>
            </w:pPr>
            <w:r w:rsidRPr="002E5315">
              <w:rPr>
                <w:rFonts w:cs="Segoe UI"/>
                <w:b w:val="0"/>
                <w:bCs w:val="0"/>
                <w:color w:val="auto"/>
                <w:sz w:val="20"/>
                <w:szCs w:val="20"/>
              </w:rPr>
              <w:t>Riješeno u 2019. (%)</w:t>
            </w:r>
          </w:p>
        </w:tc>
        <w:tc>
          <w:tcPr>
            <w:tcW w:w="1727" w:type="dxa"/>
            <w:vAlign w:val="center"/>
            <w:hideMark/>
          </w:tcPr>
          <w:p w14:paraId="3A204E6A" w14:textId="77777777" w:rsidR="007C569F" w:rsidRPr="002E5315" w:rsidRDefault="007C569F" w:rsidP="007C569F">
            <w:pPr>
              <w:tabs>
                <w:tab w:val="left" w:pos="-1843"/>
              </w:tabs>
              <w:jc w:val="center"/>
              <w:cnfStyle w:val="100000000000" w:firstRow="1" w:lastRow="0" w:firstColumn="0" w:lastColumn="0" w:oddVBand="0" w:evenVBand="0" w:oddHBand="0" w:evenHBand="0" w:firstRowFirstColumn="0" w:firstRowLastColumn="0" w:lastRowFirstColumn="0" w:lastRowLastColumn="0"/>
              <w:rPr>
                <w:rFonts w:cs="Segoe UI"/>
                <w:b w:val="0"/>
                <w:bCs w:val="0"/>
                <w:color w:val="auto"/>
                <w:sz w:val="20"/>
                <w:szCs w:val="20"/>
              </w:rPr>
            </w:pPr>
            <w:r w:rsidRPr="002E5315">
              <w:rPr>
                <w:rFonts w:cs="Segoe UI"/>
                <w:b w:val="0"/>
                <w:bCs w:val="0"/>
                <w:color w:val="auto"/>
                <w:sz w:val="20"/>
                <w:szCs w:val="20"/>
              </w:rPr>
              <w:t>Preneseno u 2020.</w:t>
            </w:r>
          </w:p>
        </w:tc>
      </w:tr>
      <w:tr w:rsidR="007C569F" w:rsidRPr="002E5315" w14:paraId="0CD42131"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noWrap/>
            <w:vAlign w:val="center"/>
            <w:hideMark/>
          </w:tcPr>
          <w:p w14:paraId="668E1BB4" w14:textId="77777777" w:rsidR="007C569F" w:rsidRPr="002E5315" w:rsidRDefault="007C569F" w:rsidP="007C569F">
            <w:pPr>
              <w:tabs>
                <w:tab w:val="left" w:pos="-1843"/>
              </w:tabs>
              <w:jc w:val="center"/>
              <w:rPr>
                <w:rFonts w:cs="Segoe UI"/>
                <w:color w:val="auto"/>
                <w:sz w:val="20"/>
                <w:szCs w:val="20"/>
              </w:rPr>
            </w:pPr>
            <w:r w:rsidRPr="002E5315">
              <w:rPr>
                <w:rFonts w:cs="Segoe UI"/>
                <w:color w:val="auto"/>
                <w:sz w:val="20"/>
                <w:szCs w:val="20"/>
              </w:rPr>
              <w:t xml:space="preserve">prenesene predstavke </w:t>
            </w:r>
          </w:p>
        </w:tc>
        <w:tc>
          <w:tcPr>
            <w:tcW w:w="1984" w:type="dxa"/>
            <w:shd w:val="clear" w:color="auto" w:fill="D9E2F3" w:themeFill="accent1" w:themeFillTint="33"/>
            <w:vAlign w:val="center"/>
            <w:hideMark/>
          </w:tcPr>
          <w:p w14:paraId="74C9A3F3" w14:textId="77777777" w:rsidR="007C569F" w:rsidRPr="002E5315" w:rsidRDefault="007C569F" w:rsidP="007C569F">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190</w:t>
            </w:r>
          </w:p>
        </w:tc>
        <w:tc>
          <w:tcPr>
            <w:tcW w:w="1676" w:type="dxa"/>
            <w:shd w:val="clear" w:color="auto" w:fill="D9E2F3" w:themeFill="accent1" w:themeFillTint="33"/>
            <w:vAlign w:val="center"/>
            <w:hideMark/>
          </w:tcPr>
          <w:p w14:paraId="76A3A021" w14:textId="77777777" w:rsidR="007C569F" w:rsidRPr="002E5315" w:rsidRDefault="007C569F" w:rsidP="007C569F">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150</w:t>
            </w:r>
          </w:p>
        </w:tc>
        <w:tc>
          <w:tcPr>
            <w:tcW w:w="1700" w:type="dxa"/>
            <w:shd w:val="clear" w:color="auto" w:fill="D9E2F3" w:themeFill="accent1" w:themeFillTint="33"/>
            <w:vAlign w:val="center"/>
            <w:hideMark/>
          </w:tcPr>
          <w:p w14:paraId="7E42FFC1" w14:textId="77777777" w:rsidR="007C569F" w:rsidRPr="002E5315" w:rsidRDefault="007C569F" w:rsidP="007C569F">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78,95</w:t>
            </w:r>
          </w:p>
        </w:tc>
        <w:tc>
          <w:tcPr>
            <w:tcW w:w="1727" w:type="dxa"/>
            <w:shd w:val="clear" w:color="auto" w:fill="D9E2F3" w:themeFill="accent1" w:themeFillTint="33"/>
            <w:vAlign w:val="center"/>
            <w:hideMark/>
          </w:tcPr>
          <w:p w14:paraId="6B5A935C" w14:textId="77777777" w:rsidR="007C569F" w:rsidRPr="002E5315" w:rsidRDefault="007C569F" w:rsidP="007C569F">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40</w:t>
            </w:r>
          </w:p>
        </w:tc>
      </w:tr>
      <w:tr w:rsidR="007C569F" w:rsidRPr="002E5315" w14:paraId="54E16AF5" w14:textId="77777777" w:rsidTr="0048395E">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14:paraId="410A1683" w14:textId="77777777" w:rsidR="007C569F" w:rsidRPr="002E5315" w:rsidRDefault="007C569F" w:rsidP="007C569F">
            <w:pPr>
              <w:jc w:val="center"/>
              <w:rPr>
                <w:rFonts w:cs="Arial"/>
                <w:color w:val="auto"/>
                <w:sz w:val="20"/>
                <w:szCs w:val="20"/>
              </w:rPr>
            </w:pPr>
            <w:r w:rsidRPr="002E5315">
              <w:rPr>
                <w:rFonts w:cs="Arial"/>
                <w:color w:val="auto"/>
                <w:sz w:val="20"/>
                <w:szCs w:val="20"/>
              </w:rPr>
              <w:t>predstavke 2019.</w:t>
            </w:r>
          </w:p>
        </w:tc>
        <w:tc>
          <w:tcPr>
            <w:tcW w:w="1984" w:type="dxa"/>
            <w:vAlign w:val="center"/>
            <w:hideMark/>
          </w:tcPr>
          <w:p w14:paraId="3B0E84E5" w14:textId="77777777" w:rsidR="007C569F" w:rsidRPr="002E5315" w:rsidRDefault="007C569F"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252</w:t>
            </w:r>
          </w:p>
        </w:tc>
        <w:tc>
          <w:tcPr>
            <w:tcW w:w="1676" w:type="dxa"/>
            <w:vAlign w:val="center"/>
            <w:hideMark/>
          </w:tcPr>
          <w:p w14:paraId="370D0ED9" w14:textId="77777777" w:rsidR="007C569F" w:rsidRPr="002E5315" w:rsidRDefault="007C569F"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214</w:t>
            </w:r>
          </w:p>
        </w:tc>
        <w:tc>
          <w:tcPr>
            <w:tcW w:w="1700" w:type="dxa"/>
            <w:vAlign w:val="center"/>
            <w:hideMark/>
          </w:tcPr>
          <w:p w14:paraId="0AFF6384" w14:textId="77777777" w:rsidR="007C569F" w:rsidRPr="002E5315" w:rsidRDefault="007C569F"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84,92</w:t>
            </w:r>
          </w:p>
        </w:tc>
        <w:tc>
          <w:tcPr>
            <w:tcW w:w="1727" w:type="dxa"/>
            <w:vAlign w:val="center"/>
            <w:hideMark/>
          </w:tcPr>
          <w:p w14:paraId="029979C7" w14:textId="77777777" w:rsidR="007C569F" w:rsidRPr="002E5315" w:rsidRDefault="007C569F" w:rsidP="007C569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38</w:t>
            </w:r>
          </w:p>
        </w:tc>
      </w:tr>
      <w:tr w:rsidR="007C569F" w:rsidRPr="002E5315" w14:paraId="7070C763"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noWrap/>
            <w:vAlign w:val="center"/>
            <w:hideMark/>
          </w:tcPr>
          <w:p w14:paraId="66D12487" w14:textId="77777777" w:rsidR="007C569F" w:rsidRPr="002E5315" w:rsidRDefault="007C569F" w:rsidP="007C569F">
            <w:pPr>
              <w:jc w:val="center"/>
              <w:rPr>
                <w:rFonts w:cs="Arial"/>
                <w:color w:val="auto"/>
                <w:sz w:val="20"/>
                <w:szCs w:val="20"/>
              </w:rPr>
            </w:pPr>
            <w:r w:rsidRPr="002E5315">
              <w:rPr>
                <w:rFonts w:cs="Arial"/>
                <w:color w:val="auto"/>
                <w:sz w:val="20"/>
                <w:szCs w:val="20"/>
              </w:rPr>
              <w:t>UKUPNO</w:t>
            </w:r>
          </w:p>
        </w:tc>
        <w:tc>
          <w:tcPr>
            <w:tcW w:w="1984" w:type="dxa"/>
            <w:shd w:val="clear" w:color="auto" w:fill="D9E2F3" w:themeFill="accent1" w:themeFillTint="33"/>
            <w:vAlign w:val="center"/>
            <w:hideMark/>
          </w:tcPr>
          <w:p w14:paraId="007332A0" w14:textId="77777777" w:rsidR="007C569F" w:rsidRPr="002E5315" w:rsidRDefault="007C569F" w:rsidP="007C569F">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442</w:t>
            </w:r>
          </w:p>
        </w:tc>
        <w:tc>
          <w:tcPr>
            <w:tcW w:w="1676" w:type="dxa"/>
            <w:shd w:val="clear" w:color="auto" w:fill="D9E2F3" w:themeFill="accent1" w:themeFillTint="33"/>
            <w:vAlign w:val="center"/>
            <w:hideMark/>
          </w:tcPr>
          <w:p w14:paraId="5E69E6F6" w14:textId="77777777" w:rsidR="007C569F" w:rsidRPr="002E5315" w:rsidRDefault="007C569F" w:rsidP="007C569F">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364</w:t>
            </w:r>
          </w:p>
        </w:tc>
        <w:tc>
          <w:tcPr>
            <w:tcW w:w="1700" w:type="dxa"/>
            <w:shd w:val="clear" w:color="auto" w:fill="D9E2F3" w:themeFill="accent1" w:themeFillTint="33"/>
            <w:vAlign w:val="center"/>
            <w:hideMark/>
          </w:tcPr>
          <w:p w14:paraId="1FCE461C" w14:textId="77777777" w:rsidR="007C569F" w:rsidRPr="002E5315" w:rsidRDefault="007C569F" w:rsidP="007C569F">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82,35</w:t>
            </w:r>
          </w:p>
        </w:tc>
        <w:tc>
          <w:tcPr>
            <w:tcW w:w="1727" w:type="dxa"/>
            <w:shd w:val="clear" w:color="auto" w:fill="D9E2F3" w:themeFill="accent1" w:themeFillTint="33"/>
            <w:vAlign w:val="center"/>
            <w:hideMark/>
          </w:tcPr>
          <w:p w14:paraId="47645DD6" w14:textId="77777777" w:rsidR="007C569F" w:rsidRPr="002E5315" w:rsidRDefault="007C569F" w:rsidP="007C569F">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78</w:t>
            </w:r>
          </w:p>
        </w:tc>
      </w:tr>
    </w:tbl>
    <w:p w14:paraId="2419AD47" w14:textId="3F8E832E" w:rsidR="007C569F" w:rsidRPr="002E5315" w:rsidRDefault="007C569F" w:rsidP="00B3674B">
      <w:pPr>
        <w:tabs>
          <w:tab w:val="left" w:pos="-1843"/>
        </w:tabs>
        <w:spacing w:before="360"/>
        <w:rPr>
          <w:rFonts w:cs="Segoe UI"/>
          <w:szCs w:val="23"/>
        </w:rPr>
      </w:pPr>
      <w:r w:rsidRPr="002E5315">
        <w:rPr>
          <w:rFonts w:cs="Segoe UI"/>
          <w:szCs w:val="23"/>
        </w:rPr>
        <w:t xml:space="preserve">Usporedbom podataka o postupanju po predstavkama, </w:t>
      </w:r>
      <w:r w:rsidR="0048395E" w:rsidRPr="002E5315">
        <w:rPr>
          <w:rFonts w:cs="Segoe UI"/>
          <w:szCs w:val="23"/>
        </w:rPr>
        <w:t>S</w:t>
      </w:r>
      <w:r w:rsidRPr="002E5315">
        <w:rPr>
          <w:rFonts w:cs="Segoe UI"/>
          <w:szCs w:val="23"/>
        </w:rPr>
        <w:t>lika</w:t>
      </w:r>
      <w:r w:rsidR="0048395E" w:rsidRPr="002E5315">
        <w:rPr>
          <w:rFonts w:cs="Segoe UI"/>
          <w:szCs w:val="23"/>
        </w:rPr>
        <w:t xml:space="preserve"> 4.1.</w:t>
      </w:r>
      <w:r w:rsidRPr="002E5315">
        <w:rPr>
          <w:rFonts w:cs="Segoe UI"/>
          <w:szCs w:val="23"/>
        </w:rPr>
        <w:t>, uočava se blagi pad broja zaprimljenih predstavki u odnosu na 2018. (274), čime je nastavljen trend njihovog smanjivanja u odnosu na 2017. i 2016., kada se bilježi značajan porast broja podnesenih predstavki.</w:t>
      </w:r>
    </w:p>
    <w:p w14:paraId="081942DB" w14:textId="6C61C7CF" w:rsidR="007C569F" w:rsidRPr="002E5315" w:rsidRDefault="00B3674B" w:rsidP="00B3674B">
      <w:pPr>
        <w:keepNext/>
        <w:tabs>
          <w:tab w:val="left" w:pos="-1843"/>
        </w:tabs>
        <w:spacing w:before="240"/>
        <w:rPr>
          <w:rFonts w:cs="Segoe UI"/>
          <w:sz w:val="20"/>
          <w:szCs w:val="20"/>
        </w:rPr>
      </w:pPr>
      <w:r w:rsidRPr="002E5315">
        <w:rPr>
          <w:rFonts w:cs="Segoe UI"/>
          <w:sz w:val="20"/>
          <w:szCs w:val="20"/>
        </w:rPr>
        <w:t>Slika 4.1. Zaprimljene, prenesene i riješene predstavke u razdoblju 2013. - 2019.</w:t>
      </w:r>
    </w:p>
    <w:p w14:paraId="7AEFF8EE" w14:textId="449DB474" w:rsidR="007C569F" w:rsidRPr="002E5315" w:rsidRDefault="003551A1" w:rsidP="007C569F">
      <w:pPr>
        <w:tabs>
          <w:tab w:val="left" w:pos="-1843"/>
        </w:tabs>
        <w:rPr>
          <w:rFonts w:cs="Segoe UI"/>
          <w:sz w:val="22"/>
          <w:szCs w:val="22"/>
        </w:rPr>
      </w:pPr>
      <w:r>
        <w:rPr>
          <w:noProof/>
        </w:rPr>
        <w:drawing>
          <wp:inline distT="0" distB="0" distL="0" distR="0" wp14:anchorId="71209423" wp14:editId="157B9C5F">
            <wp:extent cx="5760720" cy="2857500"/>
            <wp:effectExtent l="0" t="0" r="0" b="0"/>
            <wp:docPr id="5" name="Grafikon 5">
              <a:extLst xmlns:a="http://schemas.openxmlformats.org/drawingml/2006/main">
                <a:ext uri="{FF2B5EF4-FFF2-40B4-BE49-F238E27FC236}">
                  <a16:creationId xmlns:a16="http://schemas.microsoft.com/office/drawing/2014/main" id="{6351F5A1-D400-7043-A9FA-2C42FC084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992F48" w14:textId="77777777" w:rsidR="00633D93" w:rsidRDefault="007C569F" w:rsidP="00B3674B">
      <w:pPr>
        <w:tabs>
          <w:tab w:val="left" w:pos="-1843"/>
        </w:tabs>
        <w:spacing w:before="240"/>
        <w:rPr>
          <w:rFonts w:cs="Segoe UI"/>
          <w:szCs w:val="23"/>
        </w:rPr>
      </w:pPr>
      <w:r w:rsidRPr="002E5315">
        <w:rPr>
          <w:rFonts w:cs="Segoe UI"/>
          <w:szCs w:val="23"/>
        </w:rPr>
        <w:t>Iz prikaza strukture predstavki po podnositeljima</w:t>
      </w:r>
      <w:r w:rsidR="00B3674B" w:rsidRPr="002E5315">
        <w:rPr>
          <w:rFonts w:cs="Segoe UI"/>
          <w:szCs w:val="23"/>
        </w:rPr>
        <w:t xml:space="preserve"> (Slika 4.2.)</w:t>
      </w:r>
      <w:r w:rsidRPr="002E5315">
        <w:rPr>
          <w:rFonts w:cs="Segoe UI"/>
          <w:szCs w:val="23"/>
        </w:rPr>
        <w:t xml:space="preserve"> je evidentno </w:t>
      </w:r>
      <w:r w:rsidR="009A2FA8" w:rsidRPr="002E5315">
        <w:rPr>
          <w:rFonts w:cs="Segoe UI"/>
          <w:szCs w:val="23"/>
        </w:rPr>
        <w:t>da su građani i dalje najaktivniji u nadziranju tijela javne vlasti te su podnijeli ukupno 184 predstavke (73,02%). Iza njih su novinari kao specifična skupina korisnika, koja nedovoljno koristi ZPPI kao jedan od načina pristupa informaciji, obzirom da imaju na raspolaganju i mogućnost traženja informacija prema Zakonu o medijima. Novinari su podnijeli 23 predstavke ili 9,13%. Postupajući po njihovim predstavkama uočeno je da, i kada traže informaciju, njihovo traženje ne predstavlja zahtjev za pristup informacijama, već je u najvećem broju postavljenih zahtjeva</w:t>
      </w:r>
      <w:r w:rsidR="00954DB8" w:rsidRPr="002E5315">
        <w:rPr>
          <w:rFonts w:cs="Segoe UI"/>
          <w:szCs w:val="23"/>
        </w:rPr>
        <w:t xml:space="preserve"> </w:t>
      </w:r>
      <w:r w:rsidR="009A2FA8" w:rsidRPr="002E5315">
        <w:rPr>
          <w:rFonts w:cs="Segoe UI"/>
          <w:szCs w:val="23"/>
        </w:rPr>
        <w:t xml:space="preserve">riječ o odgovorima na upite (obrazloženja, iznošenje stavova, komentari) ili kombinaciji traženja odgovora i dokumentacije. Naime, obavljanju novinarskog posla koji češće traži brze odgovore, a ne postojeću </w:t>
      </w:r>
      <w:r w:rsidR="009A2FA8" w:rsidRPr="002E5315">
        <w:rPr>
          <w:rFonts w:cs="Segoe UI"/>
          <w:szCs w:val="23"/>
        </w:rPr>
        <w:lastRenderedPageBreak/>
        <w:t>dokumentaciju, daleko više odgovara slobodnija forma koju pruža Zakon o medijima, nego formalizirani postupak ZPPI-ja. Stoga se novinare redovito upućuje na sadržajnu razliku između novinarskog upita i zahtjeva za pristup informacijama, ali i potiče na traženje pristupa informaciji temeljem ZPPI-ja (osobito novinari koji se bave istraživačkim novinarstvom i kada traže preslike određene dokumentacije), zbog postojanja pravnog mehanizma – žalbe Povjereniku u slučaju nedobivanja tražene informacije</w:t>
      </w:r>
      <w:r w:rsidR="00633D93">
        <w:rPr>
          <w:rFonts w:cs="Segoe UI"/>
          <w:szCs w:val="23"/>
        </w:rPr>
        <w:t>.</w:t>
      </w:r>
    </w:p>
    <w:p w14:paraId="6E411D8A" w14:textId="0FA6F888" w:rsidR="007C569F" w:rsidRPr="002E5315" w:rsidRDefault="002E54ED" w:rsidP="002E54ED">
      <w:pPr>
        <w:keepNext/>
        <w:tabs>
          <w:tab w:val="left" w:pos="-1843"/>
        </w:tabs>
        <w:spacing w:before="240"/>
        <w:rPr>
          <w:rFonts w:cs="Segoe UI"/>
          <w:sz w:val="20"/>
          <w:szCs w:val="20"/>
        </w:rPr>
      </w:pPr>
      <w:r w:rsidRPr="002E5315">
        <w:rPr>
          <w:rFonts w:cs="Segoe UI"/>
          <w:sz w:val="20"/>
          <w:szCs w:val="20"/>
        </w:rPr>
        <w:t>Slika 4.2. Struktura predstavki po podnositeljima</w:t>
      </w:r>
    </w:p>
    <w:p w14:paraId="3973F571" w14:textId="5CD3BD09" w:rsidR="007C569F" w:rsidRPr="002E5315" w:rsidRDefault="007C569F" w:rsidP="00BD2496">
      <w:pPr>
        <w:tabs>
          <w:tab w:val="left" w:pos="-1843"/>
        </w:tabs>
        <w:jc w:val="center"/>
        <w:rPr>
          <w:rFonts w:cs="Segoe UI"/>
          <w:sz w:val="22"/>
          <w:szCs w:val="22"/>
        </w:rPr>
      </w:pPr>
      <w:r w:rsidRPr="002E5315">
        <w:rPr>
          <w:noProof/>
          <w:sz w:val="22"/>
          <w:szCs w:val="22"/>
        </w:rPr>
        <w:drawing>
          <wp:inline distT="0" distB="0" distL="0" distR="0" wp14:anchorId="543D1613" wp14:editId="4F0F98CA">
            <wp:extent cx="5638800" cy="3848100"/>
            <wp:effectExtent l="0" t="0" r="0" b="0"/>
            <wp:docPr id="11" name="Chart 8">
              <a:extLst xmlns:a="http://schemas.openxmlformats.org/drawingml/2006/main">
                <a:ext uri="{FF2B5EF4-FFF2-40B4-BE49-F238E27FC236}">
                  <a16:creationId xmlns:a16="http://schemas.microsoft.com/office/drawing/2014/main" id="{53B94CCE-3FDE-49C3-8C69-EA14384D1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9BB2BD" w14:textId="65A0352D" w:rsidR="007C569F" w:rsidRPr="002E5315" w:rsidRDefault="007C569F" w:rsidP="00BD2496">
      <w:pPr>
        <w:tabs>
          <w:tab w:val="left" w:pos="-1843"/>
        </w:tabs>
        <w:spacing w:before="240"/>
        <w:rPr>
          <w:rFonts w:cs="Segoe UI"/>
          <w:szCs w:val="23"/>
        </w:rPr>
      </w:pPr>
      <w:r w:rsidRPr="002E5315">
        <w:rPr>
          <w:rFonts w:cs="Segoe UI"/>
          <w:szCs w:val="23"/>
        </w:rPr>
        <w:t>Kada je riječ o kategoriji tijela na koja su se korisnici najviše prituživali</w:t>
      </w:r>
      <w:r w:rsidR="00BD2496" w:rsidRPr="002E5315">
        <w:rPr>
          <w:rFonts w:cs="Segoe UI"/>
          <w:szCs w:val="23"/>
        </w:rPr>
        <w:t xml:space="preserve"> (Tablica 4.2.),</w:t>
      </w:r>
      <w:r w:rsidRPr="002E5315">
        <w:rPr>
          <w:rFonts w:cs="Segoe UI"/>
          <w:szCs w:val="23"/>
        </w:rPr>
        <w:t xml:space="preserve"> podaci pokazuju da je najveći, ali podjednak broj predstavki zaprimljen na postupanje tijela državne uprave i državna tijela (63) i JLP(R)S (55), a zatim trgovačka društva u većinskom vlasništvu RH ili JLP(R)S (45). S obzirom na brojnost tijela drugih kategorija, broj podnesenih predstavki je vrlo mali.</w:t>
      </w:r>
    </w:p>
    <w:p w14:paraId="6024C976" w14:textId="69027F9A" w:rsidR="007C569F" w:rsidRPr="002E5315" w:rsidRDefault="00BD2496" w:rsidP="00BD2496">
      <w:pPr>
        <w:keepNext/>
        <w:tabs>
          <w:tab w:val="left" w:pos="-1843"/>
        </w:tabs>
        <w:spacing w:before="240"/>
        <w:rPr>
          <w:rFonts w:cs="Segoe UI"/>
          <w:color w:val="00B050"/>
          <w:sz w:val="22"/>
          <w:szCs w:val="22"/>
        </w:rPr>
      </w:pPr>
      <w:r w:rsidRPr="002E5315">
        <w:rPr>
          <w:rFonts w:cs="Segoe UI"/>
          <w:sz w:val="20"/>
          <w:szCs w:val="20"/>
        </w:rPr>
        <w:t>Tablica 4.2. Predstavke prema skupinama tijela javne vlasti</w:t>
      </w:r>
    </w:p>
    <w:tbl>
      <w:tblPr>
        <w:tblStyle w:val="LightShading-Accent11"/>
        <w:tblW w:w="9141" w:type="dxa"/>
        <w:tblLook w:val="04A0" w:firstRow="1" w:lastRow="0" w:firstColumn="1" w:lastColumn="0" w:noHBand="0" w:noVBand="1"/>
      </w:tblPr>
      <w:tblGrid>
        <w:gridCol w:w="6044"/>
        <w:gridCol w:w="1585"/>
        <w:gridCol w:w="1512"/>
      </w:tblGrid>
      <w:tr w:rsidR="00861EBC" w:rsidRPr="002E5315" w14:paraId="7F656ADC" w14:textId="77777777" w:rsidTr="00861EB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044" w:type="dxa"/>
            <w:vAlign w:val="center"/>
            <w:hideMark/>
          </w:tcPr>
          <w:p w14:paraId="7E5194AC" w14:textId="7D748152" w:rsidR="007C569F" w:rsidRPr="002E5315" w:rsidRDefault="00F635D3" w:rsidP="007C569F">
            <w:pPr>
              <w:jc w:val="center"/>
              <w:rPr>
                <w:color w:val="auto"/>
                <w:sz w:val="20"/>
                <w:szCs w:val="20"/>
              </w:rPr>
            </w:pPr>
            <w:r w:rsidRPr="002E5315">
              <w:rPr>
                <w:color w:val="auto"/>
                <w:sz w:val="20"/>
                <w:szCs w:val="20"/>
              </w:rPr>
              <w:t>Tip tijela javne vlasti</w:t>
            </w:r>
          </w:p>
        </w:tc>
        <w:tc>
          <w:tcPr>
            <w:tcW w:w="1585" w:type="dxa"/>
            <w:vAlign w:val="center"/>
            <w:hideMark/>
          </w:tcPr>
          <w:p w14:paraId="1AC17E67" w14:textId="77777777" w:rsidR="007C569F" w:rsidRPr="002E5315" w:rsidRDefault="007C569F" w:rsidP="00861EBC">
            <w:pPr>
              <w:jc w:val="center"/>
              <w:cnfStyle w:val="100000000000" w:firstRow="1" w:lastRow="0" w:firstColumn="0" w:lastColumn="0" w:oddVBand="0" w:evenVBand="0" w:oddHBand="0" w:evenHBand="0" w:firstRowFirstColumn="0" w:firstRowLastColumn="0" w:lastRowFirstColumn="0" w:lastRowLastColumn="0"/>
              <w:rPr>
                <w:i/>
                <w:iCs/>
                <w:color w:val="auto"/>
                <w:sz w:val="20"/>
                <w:szCs w:val="20"/>
              </w:rPr>
            </w:pPr>
            <w:r w:rsidRPr="002E5315">
              <w:rPr>
                <w:i/>
                <w:iCs/>
                <w:color w:val="auto"/>
                <w:sz w:val="20"/>
                <w:szCs w:val="20"/>
              </w:rPr>
              <w:t>n</w:t>
            </w:r>
          </w:p>
        </w:tc>
        <w:tc>
          <w:tcPr>
            <w:tcW w:w="1512" w:type="dxa"/>
            <w:vAlign w:val="center"/>
            <w:hideMark/>
          </w:tcPr>
          <w:p w14:paraId="0C1AE8E6" w14:textId="77777777" w:rsidR="007C569F" w:rsidRPr="002E5315" w:rsidRDefault="007C569F" w:rsidP="00861EBC">
            <w:pPr>
              <w:jc w:val="center"/>
              <w:cnfStyle w:val="100000000000" w:firstRow="1" w:lastRow="0" w:firstColumn="0" w:lastColumn="0" w:oddVBand="0" w:evenVBand="0" w:oddHBand="0" w:evenHBand="0" w:firstRowFirstColumn="0" w:firstRowLastColumn="0" w:lastRowFirstColumn="0" w:lastRowLastColumn="0"/>
              <w:rPr>
                <w:i/>
                <w:iCs/>
                <w:color w:val="auto"/>
                <w:sz w:val="20"/>
                <w:szCs w:val="20"/>
              </w:rPr>
            </w:pPr>
            <w:r w:rsidRPr="002E5315">
              <w:rPr>
                <w:i/>
                <w:iCs/>
                <w:color w:val="auto"/>
                <w:sz w:val="20"/>
                <w:szCs w:val="20"/>
              </w:rPr>
              <w:t>%</w:t>
            </w:r>
          </w:p>
        </w:tc>
      </w:tr>
      <w:tr w:rsidR="00861EBC" w:rsidRPr="002E5315" w14:paraId="343D06C5"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4" w:type="dxa"/>
            <w:shd w:val="clear" w:color="auto" w:fill="D9E2F3" w:themeFill="accent1" w:themeFillTint="33"/>
            <w:noWrap/>
            <w:vAlign w:val="center"/>
            <w:hideMark/>
          </w:tcPr>
          <w:p w14:paraId="70C179AC" w14:textId="2509D48A" w:rsidR="007C569F" w:rsidRPr="002E5315" w:rsidRDefault="007C569F" w:rsidP="007C569F">
            <w:pPr>
              <w:rPr>
                <w:b w:val="0"/>
                <w:color w:val="auto"/>
                <w:sz w:val="20"/>
                <w:szCs w:val="20"/>
              </w:rPr>
            </w:pPr>
            <w:r w:rsidRPr="002E5315">
              <w:rPr>
                <w:b w:val="0"/>
                <w:color w:val="auto"/>
                <w:sz w:val="20"/>
                <w:szCs w:val="20"/>
              </w:rPr>
              <w:t>Državna tijela</w:t>
            </w:r>
          </w:p>
        </w:tc>
        <w:tc>
          <w:tcPr>
            <w:tcW w:w="1585" w:type="dxa"/>
            <w:shd w:val="clear" w:color="auto" w:fill="D9E2F3" w:themeFill="accent1" w:themeFillTint="33"/>
            <w:vAlign w:val="center"/>
            <w:hideMark/>
          </w:tcPr>
          <w:p w14:paraId="4965B026"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27</w:t>
            </w:r>
          </w:p>
        </w:tc>
        <w:tc>
          <w:tcPr>
            <w:tcW w:w="1512" w:type="dxa"/>
            <w:shd w:val="clear" w:color="auto" w:fill="D9E2F3" w:themeFill="accent1" w:themeFillTint="33"/>
            <w:vAlign w:val="center"/>
            <w:hideMark/>
          </w:tcPr>
          <w:p w14:paraId="5D237499"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10,71</w:t>
            </w:r>
          </w:p>
        </w:tc>
      </w:tr>
      <w:tr w:rsidR="00861EBC" w:rsidRPr="002E5315" w14:paraId="7F9C078D" w14:textId="77777777" w:rsidTr="00861EBC">
        <w:trPr>
          <w:trHeight w:val="300"/>
        </w:trPr>
        <w:tc>
          <w:tcPr>
            <w:cnfStyle w:val="001000000000" w:firstRow="0" w:lastRow="0" w:firstColumn="1" w:lastColumn="0" w:oddVBand="0" w:evenVBand="0" w:oddHBand="0" w:evenHBand="0" w:firstRowFirstColumn="0" w:firstRowLastColumn="0" w:lastRowFirstColumn="0" w:lastRowLastColumn="0"/>
            <w:tcW w:w="6044" w:type="dxa"/>
            <w:noWrap/>
            <w:vAlign w:val="center"/>
            <w:hideMark/>
          </w:tcPr>
          <w:p w14:paraId="243990B4" w14:textId="38AA70D8" w:rsidR="007C569F" w:rsidRPr="002E5315" w:rsidRDefault="007C569F" w:rsidP="007C569F">
            <w:pPr>
              <w:rPr>
                <w:b w:val="0"/>
                <w:color w:val="auto"/>
                <w:sz w:val="20"/>
                <w:szCs w:val="20"/>
              </w:rPr>
            </w:pPr>
            <w:r w:rsidRPr="002E5315">
              <w:rPr>
                <w:b w:val="0"/>
                <w:color w:val="auto"/>
                <w:sz w:val="20"/>
                <w:szCs w:val="20"/>
              </w:rPr>
              <w:t>Tijela državne uprave</w:t>
            </w:r>
          </w:p>
        </w:tc>
        <w:tc>
          <w:tcPr>
            <w:tcW w:w="1585" w:type="dxa"/>
            <w:vAlign w:val="center"/>
            <w:hideMark/>
          </w:tcPr>
          <w:p w14:paraId="4F711AC3"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36</w:t>
            </w:r>
          </w:p>
        </w:tc>
        <w:tc>
          <w:tcPr>
            <w:tcW w:w="1512" w:type="dxa"/>
            <w:vAlign w:val="center"/>
            <w:hideMark/>
          </w:tcPr>
          <w:p w14:paraId="411C8EB8"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14,29</w:t>
            </w:r>
          </w:p>
        </w:tc>
      </w:tr>
      <w:tr w:rsidR="00861EBC" w:rsidRPr="002E5315" w14:paraId="46440172"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4" w:type="dxa"/>
            <w:shd w:val="clear" w:color="auto" w:fill="D9E2F3" w:themeFill="accent1" w:themeFillTint="33"/>
            <w:noWrap/>
            <w:vAlign w:val="center"/>
            <w:hideMark/>
          </w:tcPr>
          <w:p w14:paraId="1FDA9CD8" w14:textId="77777777" w:rsidR="007C569F" w:rsidRPr="002E5315" w:rsidRDefault="007C569F" w:rsidP="007C569F">
            <w:pPr>
              <w:rPr>
                <w:b w:val="0"/>
                <w:color w:val="auto"/>
                <w:sz w:val="20"/>
                <w:szCs w:val="20"/>
              </w:rPr>
            </w:pPr>
            <w:r w:rsidRPr="002E5315">
              <w:rPr>
                <w:b w:val="0"/>
                <w:color w:val="auto"/>
                <w:sz w:val="20"/>
                <w:szCs w:val="20"/>
              </w:rPr>
              <w:t>Lokalna i područna (regionalna) samouprava</w:t>
            </w:r>
          </w:p>
        </w:tc>
        <w:tc>
          <w:tcPr>
            <w:tcW w:w="1585" w:type="dxa"/>
            <w:shd w:val="clear" w:color="auto" w:fill="D9E2F3" w:themeFill="accent1" w:themeFillTint="33"/>
            <w:vAlign w:val="center"/>
            <w:hideMark/>
          </w:tcPr>
          <w:p w14:paraId="20BFBE3F"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55</w:t>
            </w:r>
          </w:p>
        </w:tc>
        <w:tc>
          <w:tcPr>
            <w:tcW w:w="1512" w:type="dxa"/>
            <w:shd w:val="clear" w:color="auto" w:fill="D9E2F3" w:themeFill="accent1" w:themeFillTint="33"/>
            <w:vAlign w:val="center"/>
            <w:hideMark/>
          </w:tcPr>
          <w:p w14:paraId="76F23E11"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21,83</w:t>
            </w:r>
          </w:p>
        </w:tc>
      </w:tr>
      <w:tr w:rsidR="00861EBC" w:rsidRPr="002E5315" w14:paraId="1F3A85B4" w14:textId="77777777" w:rsidTr="00861EBC">
        <w:trPr>
          <w:trHeight w:val="300"/>
        </w:trPr>
        <w:tc>
          <w:tcPr>
            <w:cnfStyle w:val="001000000000" w:firstRow="0" w:lastRow="0" w:firstColumn="1" w:lastColumn="0" w:oddVBand="0" w:evenVBand="0" w:oddHBand="0" w:evenHBand="0" w:firstRowFirstColumn="0" w:firstRowLastColumn="0" w:lastRowFirstColumn="0" w:lastRowLastColumn="0"/>
            <w:tcW w:w="6044" w:type="dxa"/>
            <w:noWrap/>
            <w:vAlign w:val="center"/>
            <w:hideMark/>
          </w:tcPr>
          <w:p w14:paraId="39F84237" w14:textId="77777777" w:rsidR="007C569F" w:rsidRPr="002E5315" w:rsidRDefault="007C569F" w:rsidP="007C569F">
            <w:pPr>
              <w:rPr>
                <w:b w:val="0"/>
                <w:color w:val="auto"/>
                <w:sz w:val="20"/>
                <w:szCs w:val="20"/>
              </w:rPr>
            </w:pPr>
            <w:r w:rsidRPr="002E5315">
              <w:rPr>
                <w:b w:val="0"/>
                <w:color w:val="auto"/>
                <w:sz w:val="20"/>
                <w:szCs w:val="20"/>
              </w:rPr>
              <w:t>Pravosudna tijela</w:t>
            </w:r>
          </w:p>
        </w:tc>
        <w:tc>
          <w:tcPr>
            <w:tcW w:w="1585" w:type="dxa"/>
            <w:vAlign w:val="center"/>
            <w:hideMark/>
          </w:tcPr>
          <w:p w14:paraId="0410FC9E"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5</w:t>
            </w:r>
          </w:p>
        </w:tc>
        <w:tc>
          <w:tcPr>
            <w:tcW w:w="1512" w:type="dxa"/>
            <w:vAlign w:val="center"/>
            <w:hideMark/>
          </w:tcPr>
          <w:p w14:paraId="1AB7FB90"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1,98</w:t>
            </w:r>
          </w:p>
        </w:tc>
      </w:tr>
      <w:tr w:rsidR="00861EBC" w:rsidRPr="002E5315" w14:paraId="7A21FA0A"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4" w:type="dxa"/>
            <w:shd w:val="clear" w:color="auto" w:fill="D9E2F3" w:themeFill="accent1" w:themeFillTint="33"/>
            <w:noWrap/>
            <w:vAlign w:val="center"/>
            <w:hideMark/>
          </w:tcPr>
          <w:p w14:paraId="2327FB52" w14:textId="2C3F294D" w:rsidR="007C569F" w:rsidRPr="002E5315" w:rsidRDefault="007C569F" w:rsidP="007C569F">
            <w:pPr>
              <w:rPr>
                <w:b w:val="0"/>
                <w:color w:val="auto"/>
                <w:sz w:val="20"/>
                <w:szCs w:val="20"/>
              </w:rPr>
            </w:pPr>
            <w:r w:rsidRPr="002E5315">
              <w:rPr>
                <w:b w:val="0"/>
                <w:color w:val="auto"/>
                <w:sz w:val="20"/>
                <w:szCs w:val="20"/>
              </w:rPr>
              <w:t>Agencije, zavodi, centri, fondovi</w:t>
            </w:r>
          </w:p>
        </w:tc>
        <w:tc>
          <w:tcPr>
            <w:tcW w:w="1585" w:type="dxa"/>
            <w:shd w:val="clear" w:color="auto" w:fill="D9E2F3" w:themeFill="accent1" w:themeFillTint="33"/>
            <w:vAlign w:val="center"/>
            <w:hideMark/>
          </w:tcPr>
          <w:p w14:paraId="4FE143B7"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12</w:t>
            </w:r>
          </w:p>
        </w:tc>
        <w:tc>
          <w:tcPr>
            <w:tcW w:w="1512" w:type="dxa"/>
            <w:shd w:val="clear" w:color="auto" w:fill="D9E2F3" w:themeFill="accent1" w:themeFillTint="33"/>
            <w:vAlign w:val="center"/>
            <w:hideMark/>
          </w:tcPr>
          <w:p w14:paraId="0FEFB5E6"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4,76</w:t>
            </w:r>
          </w:p>
        </w:tc>
      </w:tr>
      <w:tr w:rsidR="00861EBC" w:rsidRPr="002E5315" w14:paraId="06C0F520" w14:textId="77777777" w:rsidTr="00861EBC">
        <w:trPr>
          <w:trHeight w:val="300"/>
        </w:trPr>
        <w:tc>
          <w:tcPr>
            <w:cnfStyle w:val="001000000000" w:firstRow="0" w:lastRow="0" w:firstColumn="1" w:lastColumn="0" w:oddVBand="0" w:evenVBand="0" w:oddHBand="0" w:evenHBand="0" w:firstRowFirstColumn="0" w:firstRowLastColumn="0" w:lastRowFirstColumn="0" w:lastRowLastColumn="0"/>
            <w:tcW w:w="6044" w:type="dxa"/>
            <w:noWrap/>
            <w:vAlign w:val="center"/>
            <w:hideMark/>
          </w:tcPr>
          <w:p w14:paraId="04824866" w14:textId="4C89F314" w:rsidR="007C569F" w:rsidRPr="002E5315" w:rsidRDefault="007C569F" w:rsidP="007C569F">
            <w:pPr>
              <w:rPr>
                <w:b w:val="0"/>
                <w:color w:val="auto"/>
                <w:sz w:val="20"/>
                <w:szCs w:val="20"/>
              </w:rPr>
            </w:pPr>
            <w:r w:rsidRPr="002E5315">
              <w:rPr>
                <w:b w:val="0"/>
                <w:color w:val="auto"/>
                <w:sz w:val="20"/>
                <w:szCs w:val="20"/>
              </w:rPr>
              <w:lastRenderedPageBreak/>
              <w:t>Ustanove</w:t>
            </w:r>
          </w:p>
        </w:tc>
        <w:tc>
          <w:tcPr>
            <w:tcW w:w="1585" w:type="dxa"/>
            <w:vAlign w:val="center"/>
            <w:hideMark/>
          </w:tcPr>
          <w:p w14:paraId="152020C9"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39</w:t>
            </w:r>
          </w:p>
        </w:tc>
        <w:tc>
          <w:tcPr>
            <w:tcW w:w="1512" w:type="dxa"/>
            <w:vAlign w:val="center"/>
            <w:hideMark/>
          </w:tcPr>
          <w:p w14:paraId="0C968D8C"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15,48</w:t>
            </w:r>
          </w:p>
        </w:tc>
      </w:tr>
      <w:tr w:rsidR="00861EBC" w:rsidRPr="002E5315" w14:paraId="2A3F91CE"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4" w:type="dxa"/>
            <w:shd w:val="clear" w:color="auto" w:fill="D9E2F3" w:themeFill="accent1" w:themeFillTint="33"/>
            <w:noWrap/>
            <w:vAlign w:val="center"/>
            <w:hideMark/>
          </w:tcPr>
          <w:p w14:paraId="3388881F" w14:textId="6DBC8E40" w:rsidR="007C569F" w:rsidRPr="002E5315" w:rsidRDefault="007C569F" w:rsidP="007C569F">
            <w:pPr>
              <w:rPr>
                <w:b w:val="0"/>
                <w:color w:val="auto"/>
                <w:sz w:val="20"/>
                <w:szCs w:val="20"/>
              </w:rPr>
            </w:pPr>
            <w:r w:rsidRPr="002E5315">
              <w:rPr>
                <w:b w:val="0"/>
                <w:color w:val="auto"/>
                <w:sz w:val="20"/>
                <w:szCs w:val="20"/>
              </w:rPr>
              <w:t>Trgovačka društva</w:t>
            </w:r>
          </w:p>
        </w:tc>
        <w:tc>
          <w:tcPr>
            <w:tcW w:w="1585" w:type="dxa"/>
            <w:shd w:val="clear" w:color="auto" w:fill="D9E2F3" w:themeFill="accent1" w:themeFillTint="33"/>
            <w:vAlign w:val="center"/>
            <w:hideMark/>
          </w:tcPr>
          <w:p w14:paraId="17DAC948"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45</w:t>
            </w:r>
          </w:p>
        </w:tc>
        <w:tc>
          <w:tcPr>
            <w:tcW w:w="1512" w:type="dxa"/>
            <w:shd w:val="clear" w:color="auto" w:fill="D9E2F3" w:themeFill="accent1" w:themeFillTint="33"/>
            <w:vAlign w:val="center"/>
            <w:hideMark/>
          </w:tcPr>
          <w:p w14:paraId="3F689597"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17,86</w:t>
            </w:r>
          </w:p>
        </w:tc>
      </w:tr>
      <w:tr w:rsidR="00861EBC" w:rsidRPr="002E5315" w14:paraId="4A37FC4F" w14:textId="77777777" w:rsidTr="00861EBC">
        <w:trPr>
          <w:trHeight w:val="300"/>
        </w:trPr>
        <w:tc>
          <w:tcPr>
            <w:cnfStyle w:val="001000000000" w:firstRow="0" w:lastRow="0" w:firstColumn="1" w:lastColumn="0" w:oddVBand="0" w:evenVBand="0" w:oddHBand="0" w:evenHBand="0" w:firstRowFirstColumn="0" w:firstRowLastColumn="0" w:lastRowFirstColumn="0" w:lastRowLastColumn="0"/>
            <w:tcW w:w="6044" w:type="dxa"/>
            <w:noWrap/>
            <w:vAlign w:val="center"/>
            <w:hideMark/>
          </w:tcPr>
          <w:p w14:paraId="63C95E68" w14:textId="7F3BB69D" w:rsidR="007C569F" w:rsidRPr="002E5315" w:rsidRDefault="007C569F" w:rsidP="007C569F">
            <w:pPr>
              <w:rPr>
                <w:b w:val="0"/>
                <w:color w:val="auto"/>
                <w:sz w:val="20"/>
                <w:szCs w:val="20"/>
              </w:rPr>
            </w:pPr>
            <w:r w:rsidRPr="002E5315">
              <w:rPr>
                <w:b w:val="0"/>
                <w:color w:val="auto"/>
                <w:sz w:val="20"/>
                <w:szCs w:val="20"/>
              </w:rPr>
              <w:t>Udruge</w:t>
            </w:r>
          </w:p>
        </w:tc>
        <w:tc>
          <w:tcPr>
            <w:tcW w:w="1585" w:type="dxa"/>
            <w:vAlign w:val="center"/>
            <w:hideMark/>
          </w:tcPr>
          <w:p w14:paraId="3F379C11"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w:t>
            </w:r>
          </w:p>
        </w:tc>
        <w:tc>
          <w:tcPr>
            <w:tcW w:w="1512" w:type="dxa"/>
            <w:vAlign w:val="center"/>
            <w:hideMark/>
          </w:tcPr>
          <w:p w14:paraId="536AFB50"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0,79</w:t>
            </w:r>
          </w:p>
        </w:tc>
      </w:tr>
      <w:tr w:rsidR="00861EBC" w:rsidRPr="002E5315" w14:paraId="4A65620E" w14:textId="77777777" w:rsidTr="000C3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4" w:type="dxa"/>
            <w:shd w:val="clear" w:color="auto" w:fill="D9E2F3" w:themeFill="accent1" w:themeFillTint="33"/>
            <w:noWrap/>
            <w:vAlign w:val="center"/>
            <w:hideMark/>
          </w:tcPr>
          <w:p w14:paraId="60D75124" w14:textId="3FA1BBD5" w:rsidR="007C569F" w:rsidRPr="002E5315" w:rsidRDefault="007C569F" w:rsidP="007C569F">
            <w:pPr>
              <w:rPr>
                <w:b w:val="0"/>
                <w:color w:val="auto"/>
                <w:sz w:val="20"/>
                <w:szCs w:val="20"/>
              </w:rPr>
            </w:pPr>
            <w:r w:rsidRPr="002E5315">
              <w:rPr>
                <w:b w:val="0"/>
                <w:color w:val="auto"/>
                <w:sz w:val="20"/>
                <w:szCs w:val="20"/>
              </w:rPr>
              <w:t>Ostala TJV</w:t>
            </w:r>
          </w:p>
        </w:tc>
        <w:tc>
          <w:tcPr>
            <w:tcW w:w="1585" w:type="dxa"/>
            <w:shd w:val="clear" w:color="auto" w:fill="D9E2F3" w:themeFill="accent1" w:themeFillTint="33"/>
            <w:vAlign w:val="center"/>
            <w:hideMark/>
          </w:tcPr>
          <w:p w14:paraId="3F50C83E"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31</w:t>
            </w:r>
          </w:p>
        </w:tc>
        <w:tc>
          <w:tcPr>
            <w:tcW w:w="1512" w:type="dxa"/>
            <w:shd w:val="clear" w:color="auto" w:fill="D9E2F3" w:themeFill="accent1" w:themeFillTint="33"/>
            <w:vAlign w:val="center"/>
            <w:hideMark/>
          </w:tcPr>
          <w:p w14:paraId="191EB729" w14:textId="77777777" w:rsidR="007C569F" w:rsidRPr="002E5315" w:rsidRDefault="007C569F" w:rsidP="00861EBC">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12,30</w:t>
            </w:r>
          </w:p>
        </w:tc>
      </w:tr>
      <w:tr w:rsidR="00861EBC" w:rsidRPr="002E5315" w14:paraId="381D7C95" w14:textId="77777777" w:rsidTr="00861EBC">
        <w:trPr>
          <w:trHeight w:val="300"/>
        </w:trPr>
        <w:tc>
          <w:tcPr>
            <w:cnfStyle w:val="001000000000" w:firstRow="0" w:lastRow="0" w:firstColumn="1" w:lastColumn="0" w:oddVBand="0" w:evenVBand="0" w:oddHBand="0" w:evenHBand="0" w:firstRowFirstColumn="0" w:firstRowLastColumn="0" w:lastRowFirstColumn="0" w:lastRowLastColumn="0"/>
            <w:tcW w:w="6044" w:type="dxa"/>
            <w:noWrap/>
            <w:vAlign w:val="center"/>
            <w:hideMark/>
          </w:tcPr>
          <w:p w14:paraId="2E6F9BD6" w14:textId="04D291CC" w:rsidR="007C569F" w:rsidRPr="002E5315" w:rsidRDefault="007C569F" w:rsidP="007C569F">
            <w:pPr>
              <w:rPr>
                <w:color w:val="auto"/>
                <w:sz w:val="20"/>
                <w:szCs w:val="20"/>
              </w:rPr>
            </w:pPr>
            <w:r w:rsidRPr="002E5315">
              <w:rPr>
                <w:color w:val="auto"/>
                <w:sz w:val="20"/>
                <w:szCs w:val="20"/>
              </w:rPr>
              <w:t>U</w:t>
            </w:r>
            <w:r w:rsidR="00F635D3" w:rsidRPr="002E5315">
              <w:rPr>
                <w:color w:val="auto"/>
                <w:sz w:val="20"/>
                <w:szCs w:val="20"/>
              </w:rPr>
              <w:t>kupno</w:t>
            </w:r>
          </w:p>
        </w:tc>
        <w:tc>
          <w:tcPr>
            <w:tcW w:w="1585" w:type="dxa"/>
            <w:vAlign w:val="center"/>
            <w:hideMark/>
          </w:tcPr>
          <w:p w14:paraId="0ABA380A"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E5315">
              <w:rPr>
                <w:bCs/>
                <w:color w:val="auto"/>
                <w:sz w:val="20"/>
                <w:szCs w:val="20"/>
              </w:rPr>
              <w:t>252</w:t>
            </w:r>
          </w:p>
        </w:tc>
        <w:tc>
          <w:tcPr>
            <w:tcW w:w="1512" w:type="dxa"/>
            <w:vAlign w:val="center"/>
            <w:hideMark/>
          </w:tcPr>
          <w:p w14:paraId="25047C33" w14:textId="77777777" w:rsidR="007C569F" w:rsidRPr="002E5315" w:rsidRDefault="007C569F" w:rsidP="00861EBC">
            <w:pPr>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2E5315">
              <w:rPr>
                <w:bCs/>
                <w:color w:val="auto"/>
                <w:sz w:val="20"/>
                <w:szCs w:val="20"/>
              </w:rPr>
              <w:t>100,00</w:t>
            </w:r>
          </w:p>
        </w:tc>
      </w:tr>
    </w:tbl>
    <w:p w14:paraId="3C01577A" w14:textId="00ED8B8A" w:rsidR="00EC17CD" w:rsidRPr="002E5315" w:rsidRDefault="007C569F" w:rsidP="00EC17CD">
      <w:pPr>
        <w:tabs>
          <w:tab w:val="left" w:pos="-1843"/>
        </w:tabs>
        <w:spacing w:before="240"/>
        <w:rPr>
          <w:rFonts w:cs="Segoe UI"/>
          <w:szCs w:val="23"/>
        </w:rPr>
      </w:pPr>
      <w:r w:rsidRPr="002E5315">
        <w:rPr>
          <w:rFonts w:cs="Segoe UI"/>
          <w:szCs w:val="23"/>
        </w:rPr>
        <w:t xml:space="preserve">Prema sadržaju predstavke vidljivo je </w:t>
      </w:r>
      <w:r w:rsidR="00861EBC" w:rsidRPr="002E5315">
        <w:rPr>
          <w:rFonts w:cs="Segoe UI"/>
          <w:szCs w:val="23"/>
        </w:rPr>
        <w:t>(Slika 4.3.)</w:t>
      </w:r>
      <w:r w:rsidRPr="002E5315">
        <w:rPr>
          <w:rFonts w:cs="Segoe UI"/>
          <w:szCs w:val="23"/>
        </w:rPr>
        <w:t xml:space="preserve"> da su korisnici, kao i u prošlom izvještajnom razdoblju, u najvećem broju ukazivali na propuste i nepravilnosti u rješavanju zahtjeva (150 ili 59,52%) te u nešto manjoj mjeri u provedbi proaktivne objave informacija na internetskim stranicama, uključujući i obvezu javnosti rada (36 predstavke ili 14,29%) i obvezi provedbe savjetovanja s javnošću (25 ili 9,92%).</w:t>
      </w:r>
    </w:p>
    <w:p w14:paraId="54C28361" w14:textId="1AC57E88" w:rsidR="00861EBC" w:rsidRPr="002E5315" w:rsidRDefault="00861EBC" w:rsidP="00861EBC">
      <w:pPr>
        <w:keepNext/>
        <w:tabs>
          <w:tab w:val="left" w:pos="-1843"/>
        </w:tabs>
        <w:spacing w:before="240"/>
        <w:rPr>
          <w:rFonts w:cs="Segoe UI"/>
          <w:sz w:val="20"/>
          <w:szCs w:val="20"/>
        </w:rPr>
      </w:pPr>
      <w:r w:rsidRPr="002E5315">
        <w:rPr>
          <w:rFonts w:cs="Segoe UI"/>
          <w:sz w:val="20"/>
          <w:szCs w:val="20"/>
        </w:rPr>
        <w:t>Slika 4.3. Struktura predstavki prema razlozima podnošenja predstavki</w:t>
      </w:r>
    </w:p>
    <w:p w14:paraId="3E53CEA1" w14:textId="77777777" w:rsidR="00EC17CD" w:rsidRPr="002E5315" w:rsidRDefault="00EC17CD" w:rsidP="00861EBC">
      <w:pPr>
        <w:tabs>
          <w:tab w:val="left" w:pos="-1843"/>
        </w:tabs>
        <w:spacing w:before="240"/>
        <w:rPr>
          <w:rFonts w:cs="Segoe UI"/>
          <w:szCs w:val="23"/>
        </w:rPr>
      </w:pPr>
      <w:r w:rsidRPr="002E5315">
        <w:rPr>
          <w:noProof/>
          <w:sz w:val="22"/>
          <w:szCs w:val="22"/>
        </w:rPr>
        <w:drawing>
          <wp:inline distT="0" distB="0" distL="0" distR="0" wp14:anchorId="6B732B1C" wp14:editId="3627A1A1">
            <wp:extent cx="5743575" cy="3714750"/>
            <wp:effectExtent l="0" t="0" r="0" b="0"/>
            <wp:docPr id="6" name="Chart 6">
              <a:extLst xmlns:a="http://schemas.openxmlformats.org/drawingml/2006/main">
                <a:ext uri="{FF2B5EF4-FFF2-40B4-BE49-F238E27FC236}">
                  <a16:creationId xmlns:a16="http://schemas.microsoft.com/office/drawing/2014/main" id="{8DCC2DAA-CEEA-4A79-A782-0F852D453F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A6E0D1" w14:textId="77777777" w:rsidR="00633D93" w:rsidRDefault="007C569F" w:rsidP="00861EBC">
      <w:pPr>
        <w:tabs>
          <w:tab w:val="left" w:pos="-1843"/>
        </w:tabs>
        <w:spacing w:before="240"/>
        <w:rPr>
          <w:rFonts w:cs="Segoe UI"/>
          <w:szCs w:val="23"/>
        </w:rPr>
      </w:pPr>
      <w:r w:rsidRPr="002E5315">
        <w:rPr>
          <w:rFonts w:cs="Segoe UI"/>
          <w:szCs w:val="23"/>
        </w:rPr>
        <w:t>Potrebno je naglasiti da su tijela javne vlasti po upozorenju Povjerenika, nakon ukazivanja na nepravilnosti i naloženog postupanja u najvećem broju slučajeva uklonila nepravilnosti, a o čemu su obaviješteni i podnositelji predstavke</w:t>
      </w:r>
      <w:r w:rsidR="00633D93">
        <w:rPr>
          <w:rFonts w:cs="Segoe UI"/>
          <w:szCs w:val="23"/>
        </w:rPr>
        <w:t>.</w:t>
      </w:r>
    </w:p>
    <w:p w14:paraId="5BCB3F44" w14:textId="76B7A7A2" w:rsidR="007C569F" w:rsidRPr="002E5315" w:rsidRDefault="007C569F" w:rsidP="007C569F">
      <w:pPr>
        <w:tabs>
          <w:tab w:val="left" w:pos="-1843"/>
        </w:tabs>
        <w:rPr>
          <w:rFonts w:cs="Segoe UI"/>
          <w:szCs w:val="23"/>
        </w:rPr>
      </w:pPr>
      <w:r w:rsidRPr="002E5315">
        <w:rPr>
          <w:rFonts w:cs="Segoe UI"/>
          <w:szCs w:val="23"/>
        </w:rPr>
        <w:t xml:space="preserve">Iz priložene </w:t>
      </w:r>
      <w:r w:rsidR="00861EBC" w:rsidRPr="002E5315">
        <w:rPr>
          <w:rFonts w:cs="Segoe UI"/>
          <w:szCs w:val="23"/>
        </w:rPr>
        <w:t>T</w:t>
      </w:r>
      <w:r w:rsidRPr="002E5315">
        <w:rPr>
          <w:rFonts w:cs="Segoe UI"/>
          <w:szCs w:val="23"/>
        </w:rPr>
        <w:t xml:space="preserve">ablice </w:t>
      </w:r>
      <w:r w:rsidR="00861EBC" w:rsidRPr="002E5315">
        <w:rPr>
          <w:rFonts w:cs="Segoe UI"/>
          <w:szCs w:val="23"/>
        </w:rPr>
        <w:t>4.3</w:t>
      </w:r>
      <w:r w:rsidRPr="002E5315">
        <w:rPr>
          <w:rFonts w:cs="Segoe UI"/>
          <w:szCs w:val="23"/>
        </w:rPr>
        <w:t xml:space="preserve">. </w:t>
      </w:r>
      <w:r w:rsidR="009A2FA8" w:rsidRPr="002E5315">
        <w:rPr>
          <w:rFonts w:cs="Segoe UI"/>
          <w:szCs w:val="23"/>
        </w:rPr>
        <w:t>vidljiv je način postupanja Ureda povjerenika po predstavkama korisnika koje su zaprimljene u 2019. U 163 predstavke od zaprimljene 252, Ured je upozorio tijelo na nepravilnosti i zatražio njihovo uklanjanje. Kako u 12 slučajeva tijelo nije otklonilo nepravilnosti i dostavilo izvješće o poduzetom niti po požurnici i dodatnom upozorenju, pokrenuto je 14 ciljanih posrednih i 4 neposredna inspekcijska nadzora (više u dijelu o provedbi inspekcijskog nadzora)</w:t>
      </w:r>
      <w:r w:rsidRPr="002E5315">
        <w:rPr>
          <w:rFonts w:cs="Segoe UI"/>
          <w:szCs w:val="23"/>
        </w:rPr>
        <w:t>.</w:t>
      </w:r>
    </w:p>
    <w:p w14:paraId="1F46EEBE" w14:textId="4CA12A84" w:rsidR="007C569F" w:rsidRPr="002E5315" w:rsidRDefault="00AE078D" w:rsidP="00AE078D">
      <w:pPr>
        <w:keepNext/>
        <w:tabs>
          <w:tab w:val="left" w:pos="-1843"/>
        </w:tabs>
        <w:spacing w:before="240"/>
        <w:rPr>
          <w:rFonts w:cs="Segoe UI"/>
          <w:color w:val="00B050"/>
          <w:sz w:val="22"/>
          <w:szCs w:val="22"/>
        </w:rPr>
      </w:pPr>
      <w:r w:rsidRPr="002E5315">
        <w:rPr>
          <w:rFonts w:cs="Segoe UI"/>
          <w:sz w:val="20"/>
          <w:szCs w:val="20"/>
        </w:rPr>
        <w:lastRenderedPageBreak/>
        <w:t>Tablica 4.3. Postupanja Povjerenika za informiranje po predstavkama</w:t>
      </w:r>
    </w:p>
    <w:tbl>
      <w:tblPr>
        <w:tblStyle w:val="LightShading-Accent11"/>
        <w:tblW w:w="5000" w:type="pct"/>
        <w:tblLook w:val="04A0" w:firstRow="1" w:lastRow="0" w:firstColumn="1" w:lastColumn="0" w:noHBand="0" w:noVBand="1"/>
      </w:tblPr>
      <w:tblGrid>
        <w:gridCol w:w="5493"/>
        <w:gridCol w:w="1898"/>
        <w:gridCol w:w="1897"/>
      </w:tblGrid>
      <w:tr w:rsidR="00AE078D" w:rsidRPr="002E5315" w14:paraId="1BBF7FF5" w14:textId="77777777" w:rsidTr="009A2FA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7" w:type="pct"/>
            <w:vAlign w:val="center"/>
            <w:hideMark/>
          </w:tcPr>
          <w:p w14:paraId="7F41BD18" w14:textId="77777777" w:rsidR="007C569F" w:rsidRPr="002E5315" w:rsidRDefault="007C569F" w:rsidP="007C569F">
            <w:pPr>
              <w:jc w:val="center"/>
              <w:rPr>
                <w:color w:val="auto"/>
                <w:sz w:val="20"/>
                <w:szCs w:val="20"/>
              </w:rPr>
            </w:pPr>
            <w:r w:rsidRPr="002E5315">
              <w:rPr>
                <w:color w:val="auto"/>
                <w:sz w:val="20"/>
                <w:szCs w:val="20"/>
              </w:rPr>
              <w:t>Način postupanja po predstavkama</w:t>
            </w:r>
          </w:p>
        </w:tc>
        <w:tc>
          <w:tcPr>
            <w:tcW w:w="1022" w:type="pct"/>
            <w:noWrap/>
            <w:vAlign w:val="center"/>
            <w:hideMark/>
          </w:tcPr>
          <w:p w14:paraId="18004C44" w14:textId="77777777" w:rsidR="007C569F" w:rsidRPr="002E5315" w:rsidRDefault="007C569F" w:rsidP="007C569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broj postupanja</w:t>
            </w:r>
          </w:p>
        </w:tc>
        <w:tc>
          <w:tcPr>
            <w:tcW w:w="1022" w:type="pct"/>
            <w:noWrap/>
            <w:vAlign w:val="center"/>
            <w:hideMark/>
          </w:tcPr>
          <w:p w14:paraId="5E7A7AA2" w14:textId="77777777" w:rsidR="007C569F" w:rsidRPr="002E5315" w:rsidRDefault="007C569F" w:rsidP="007C569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 predstavki</w:t>
            </w:r>
          </w:p>
        </w:tc>
      </w:tr>
      <w:tr w:rsidR="00AE078D" w:rsidRPr="002E5315" w14:paraId="2A9B1084" w14:textId="77777777" w:rsidTr="000C39A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7" w:type="pct"/>
            <w:shd w:val="clear" w:color="auto" w:fill="D9E2F3" w:themeFill="accent1" w:themeFillTint="33"/>
            <w:vAlign w:val="center"/>
            <w:hideMark/>
          </w:tcPr>
          <w:p w14:paraId="1C9C8B16" w14:textId="77777777" w:rsidR="007C569F" w:rsidRPr="002E5315" w:rsidRDefault="007C569F" w:rsidP="007C569F">
            <w:pPr>
              <w:rPr>
                <w:b w:val="0"/>
                <w:color w:val="auto"/>
                <w:sz w:val="20"/>
                <w:szCs w:val="20"/>
              </w:rPr>
            </w:pPr>
            <w:r w:rsidRPr="002E5315">
              <w:rPr>
                <w:b w:val="0"/>
                <w:color w:val="auto"/>
                <w:sz w:val="20"/>
                <w:szCs w:val="20"/>
              </w:rPr>
              <w:t>Upozorenje tijelu (riješeni predmeti)</w:t>
            </w:r>
          </w:p>
        </w:tc>
        <w:tc>
          <w:tcPr>
            <w:tcW w:w="1022" w:type="pct"/>
            <w:shd w:val="clear" w:color="auto" w:fill="D9E2F3" w:themeFill="accent1" w:themeFillTint="33"/>
            <w:noWrap/>
            <w:vAlign w:val="center"/>
            <w:hideMark/>
          </w:tcPr>
          <w:p w14:paraId="3C907D7F" w14:textId="77777777" w:rsidR="007C569F" w:rsidRPr="002E5315" w:rsidRDefault="007C569F" w:rsidP="00AE078D">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133</w:t>
            </w:r>
          </w:p>
        </w:tc>
        <w:tc>
          <w:tcPr>
            <w:tcW w:w="1022" w:type="pct"/>
            <w:shd w:val="clear" w:color="auto" w:fill="D9E2F3" w:themeFill="accent1" w:themeFillTint="33"/>
            <w:noWrap/>
            <w:vAlign w:val="center"/>
            <w:hideMark/>
          </w:tcPr>
          <w:p w14:paraId="0E2B34F3" w14:textId="77777777" w:rsidR="007C569F" w:rsidRPr="002E5315" w:rsidRDefault="007C569F" w:rsidP="00AE078D">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52,78</w:t>
            </w:r>
          </w:p>
        </w:tc>
      </w:tr>
      <w:tr w:rsidR="00AE078D" w:rsidRPr="002E5315" w14:paraId="10FB1FF6" w14:textId="77777777" w:rsidTr="009A2FA8">
        <w:trPr>
          <w:trHeight w:val="510"/>
        </w:trPr>
        <w:tc>
          <w:tcPr>
            <w:cnfStyle w:val="001000000000" w:firstRow="0" w:lastRow="0" w:firstColumn="1" w:lastColumn="0" w:oddVBand="0" w:evenVBand="0" w:oddHBand="0" w:evenHBand="0" w:firstRowFirstColumn="0" w:firstRowLastColumn="0" w:lastRowFirstColumn="0" w:lastRowLastColumn="0"/>
            <w:tcW w:w="2957" w:type="pct"/>
            <w:vAlign w:val="center"/>
            <w:hideMark/>
          </w:tcPr>
          <w:p w14:paraId="19D56150" w14:textId="5F883ADC" w:rsidR="007C569F" w:rsidRPr="002E5315" w:rsidRDefault="007C569F" w:rsidP="007C569F">
            <w:pPr>
              <w:rPr>
                <w:b w:val="0"/>
                <w:color w:val="auto"/>
                <w:sz w:val="20"/>
                <w:szCs w:val="20"/>
              </w:rPr>
            </w:pPr>
            <w:r w:rsidRPr="002E5315">
              <w:rPr>
                <w:b w:val="0"/>
                <w:color w:val="auto"/>
                <w:sz w:val="20"/>
                <w:szCs w:val="20"/>
              </w:rPr>
              <w:t>Upozorenje tijelu (predmeti u radu i</w:t>
            </w:r>
            <w:r w:rsidR="00754B2D" w:rsidRPr="002E5315">
              <w:rPr>
                <w:b w:val="0"/>
                <w:color w:val="auto"/>
                <w:sz w:val="20"/>
                <w:szCs w:val="20"/>
              </w:rPr>
              <w:t xml:space="preserve"> </w:t>
            </w:r>
            <w:r w:rsidRPr="002E5315">
              <w:rPr>
                <w:b w:val="0"/>
                <w:color w:val="auto"/>
                <w:sz w:val="20"/>
                <w:szCs w:val="20"/>
              </w:rPr>
              <w:t>preneseni u 2020.)</w:t>
            </w:r>
          </w:p>
        </w:tc>
        <w:tc>
          <w:tcPr>
            <w:tcW w:w="1022" w:type="pct"/>
            <w:noWrap/>
            <w:vAlign w:val="center"/>
            <w:hideMark/>
          </w:tcPr>
          <w:p w14:paraId="2A02E6DF" w14:textId="77777777" w:rsidR="007C569F" w:rsidRPr="002E5315" w:rsidRDefault="007C569F" w:rsidP="00AE078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30</w:t>
            </w:r>
          </w:p>
        </w:tc>
        <w:tc>
          <w:tcPr>
            <w:tcW w:w="1022" w:type="pct"/>
            <w:noWrap/>
            <w:vAlign w:val="center"/>
            <w:hideMark/>
          </w:tcPr>
          <w:p w14:paraId="4C5FC450" w14:textId="77777777" w:rsidR="007C569F" w:rsidRPr="002E5315" w:rsidRDefault="007C569F" w:rsidP="00AE078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11,90</w:t>
            </w:r>
          </w:p>
        </w:tc>
      </w:tr>
      <w:tr w:rsidR="00AE078D" w:rsidRPr="002E5315" w14:paraId="3D978CFA" w14:textId="77777777" w:rsidTr="000C39A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7" w:type="pct"/>
            <w:shd w:val="clear" w:color="auto" w:fill="D9E2F3" w:themeFill="accent1" w:themeFillTint="33"/>
            <w:vAlign w:val="center"/>
            <w:hideMark/>
          </w:tcPr>
          <w:p w14:paraId="0D05CD41" w14:textId="77777777" w:rsidR="007C569F" w:rsidRPr="002E5315" w:rsidRDefault="007C569F" w:rsidP="007C569F">
            <w:pPr>
              <w:rPr>
                <w:b w:val="0"/>
                <w:color w:val="auto"/>
                <w:sz w:val="20"/>
                <w:szCs w:val="20"/>
              </w:rPr>
            </w:pPr>
            <w:r w:rsidRPr="002E5315">
              <w:rPr>
                <w:b w:val="0"/>
                <w:color w:val="auto"/>
                <w:sz w:val="20"/>
                <w:szCs w:val="20"/>
              </w:rPr>
              <w:t>Posredni inspekcijski nadzor</w:t>
            </w:r>
          </w:p>
        </w:tc>
        <w:tc>
          <w:tcPr>
            <w:tcW w:w="1022" w:type="pct"/>
            <w:shd w:val="clear" w:color="auto" w:fill="D9E2F3" w:themeFill="accent1" w:themeFillTint="33"/>
            <w:noWrap/>
            <w:vAlign w:val="center"/>
            <w:hideMark/>
          </w:tcPr>
          <w:p w14:paraId="329FE286" w14:textId="77777777" w:rsidR="007C569F" w:rsidRPr="002E5315" w:rsidRDefault="007C569F" w:rsidP="00AE078D">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14</w:t>
            </w:r>
          </w:p>
        </w:tc>
        <w:tc>
          <w:tcPr>
            <w:tcW w:w="1022" w:type="pct"/>
            <w:shd w:val="clear" w:color="auto" w:fill="D9E2F3" w:themeFill="accent1" w:themeFillTint="33"/>
            <w:noWrap/>
            <w:vAlign w:val="center"/>
            <w:hideMark/>
          </w:tcPr>
          <w:p w14:paraId="3AC1F317" w14:textId="77777777" w:rsidR="007C569F" w:rsidRPr="002E5315" w:rsidRDefault="007C569F" w:rsidP="00AE078D">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5,55</w:t>
            </w:r>
          </w:p>
        </w:tc>
      </w:tr>
      <w:tr w:rsidR="00AE078D" w:rsidRPr="002E5315" w14:paraId="6E6C84A1" w14:textId="77777777" w:rsidTr="009A2FA8">
        <w:trPr>
          <w:trHeight w:val="510"/>
        </w:trPr>
        <w:tc>
          <w:tcPr>
            <w:cnfStyle w:val="001000000000" w:firstRow="0" w:lastRow="0" w:firstColumn="1" w:lastColumn="0" w:oddVBand="0" w:evenVBand="0" w:oddHBand="0" w:evenHBand="0" w:firstRowFirstColumn="0" w:firstRowLastColumn="0" w:lastRowFirstColumn="0" w:lastRowLastColumn="0"/>
            <w:tcW w:w="2957" w:type="pct"/>
            <w:vAlign w:val="center"/>
            <w:hideMark/>
          </w:tcPr>
          <w:p w14:paraId="7A082191" w14:textId="77777777" w:rsidR="007C569F" w:rsidRPr="002E5315" w:rsidRDefault="007C569F" w:rsidP="007C569F">
            <w:pPr>
              <w:rPr>
                <w:b w:val="0"/>
                <w:color w:val="auto"/>
                <w:sz w:val="20"/>
                <w:szCs w:val="20"/>
              </w:rPr>
            </w:pPr>
            <w:r w:rsidRPr="002E5315">
              <w:rPr>
                <w:b w:val="0"/>
                <w:color w:val="auto"/>
                <w:sz w:val="20"/>
                <w:szCs w:val="20"/>
              </w:rPr>
              <w:t>Neposredni nadzor</w:t>
            </w:r>
          </w:p>
        </w:tc>
        <w:tc>
          <w:tcPr>
            <w:tcW w:w="1022" w:type="pct"/>
            <w:noWrap/>
            <w:vAlign w:val="center"/>
            <w:hideMark/>
          </w:tcPr>
          <w:p w14:paraId="24FCB435" w14:textId="77777777" w:rsidR="007C569F" w:rsidRPr="002E5315" w:rsidRDefault="007C569F" w:rsidP="00AE078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4</w:t>
            </w:r>
          </w:p>
        </w:tc>
        <w:tc>
          <w:tcPr>
            <w:tcW w:w="1022" w:type="pct"/>
            <w:noWrap/>
            <w:vAlign w:val="center"/>
            <w:hideMark/>
          </w:tcPr>
          <w:p w14:paraId="0D9A2AE6" w14:textId="77777777" w:rsidR="007C569F" w:rsidRPr="002E5315" w:rsidRDefault="007C569F" w:rsidP="00AE078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1,59</w:t>
            </w:r>
          </w:p>
        </w:tc>
      </w:tr>
      <w:tr w:rsidR="00AE078D" w:rsidRPr="002E5315" w14:paraId="61E6F55A" w14:textId="77777777" w:rsidTr="000C39A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7" w:type="pct"/>
            <w:shd w:val="clear" w:color="auto" w:fill="D9E2F3" w:themeFill="accent1" w:themeFillTint="33"/>
            <w:vAlign w:val="center"/>
            <w:hideMark/>
          </w:tcPr>
          <w:p w14:paraId="542914D7" w14:textId="77777777" w:rsidR="007C569F" w:rsidRPr="002E5315" w:rsidRDefault="007C569F" w:rsidP="007C569F">
            <w:pPr>
              <w:rPr>
                <w:b w:val="0"/>
                <w:color w:val="auto"/>
                <w:sz w:val="20"/>
                <w:szCs w:val="20"/>
              </w:rPr>
            </w:pPr>
            <w:r w:rsidRPr="002E5315">
              <w:rPr>
                <w:b w:val="0"/>
                <w:color w:val="auto"/>
                <w:sz w:val="20"/>
                <w:szCs w:val="20"/>
              </w:rPr>
              <w:t>Ustupanje predmeta</w:t>
            </w:r>
          </w:p>
        </w:tc>
        <w:tc>
          <w:tcPr>
            <w:tcW w:w="1022" w:type="pct"/>
            <w:shd w:val="clear" w:color="auto" w:fill="D9E2F3" w:themeFill="accent1" w:themeFillTint="33"/>
            <w:noWrap/>
            <w:vAlign w:val="center"/>
            <w:hideMark/>
          </w:tcPr>
          <w:p w14:paraId="47115BCA" w14:textId="77777777" w:rsidR="007C569F" w:rsidRPr="002E5315" w:rsidRDefault="007C569F" w:rsidP="00AE078D">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16</w:t>
            </w:r>
          </w:p>
        </w:tc>
        <w:tc>
          <w:tcPr>
            <w:tcW w:w="1022" w:type="pct"/>
            <w:shd w:val="clear" w:color="auto" w:fill="D9E2F3" w:themeFill="accent1" w:themeFillTint="33"/>
            <w:noWrap/>
            <w:vAlign w:val="center"/>
            <w:hideMark/>
          </w:tcPr>
          <w:p w14:paraId="7FFB2C7F" w14:textId="77777777" w:rsidR="007C569F" w:rsidRPr="002E5315" w:rsidRDefault="007C569F" w:rsidP="00AE078D">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6,35</w:t>
            </w:r>
          </w:p>
        </w:tc>
      </w:tr>
      <w:tr w:rsidR="00AE078D" w:rsidRPr="002E5315" w14:paraId="34B7A8DF" w14:textId="77777777" w:rsidTr="009A2FA8">
        <w:trPr>
          <w:trHeight w:val="276"/>
        </w:trPr>
        <w:tc>
          <w:tcPr>
            <w:cnfStyle w:val="001000000000" w:firstRow="0" w:lastRow="0" w:firstColumn="1" w:lastColumn="0" w:oddVBand="0" w:evenVBand="0" w:oddHBand="0" w:evenHBand="0" w:firstRowFirstColumn="0" w:firstRowLastColumn="0" w:lastRowFirstColumn="0" w:lastRowLastColumn="0"/>
            <w:tcW w:w="2957" w:type="pct"/>
            <w:vAlign w:val="center"/>
            <w:hideMark/>
          </w:tcPr>
          <w:p w14:paraId="745F6937" w14:textId="77777777" w:rsidR="007C569F" w:rsidRPr="002E5315" w:rsidRDefault="007C569F" w:rsidP="007C569F">
            <w:pPr>
              <w:rPr>
                <w:b w:val="0"/>
                <w:color w:val="auto"/>
                <w:sz w:val="20"/>
                <w:szCs w:val="20"/>
              </w:rPr>
            </w:pPr>
            <w:r w:rsidRPr="002E5315">
              <w:rPr>
                <w:b w:val="0"/>
                <w:color w:val="auto"/>
                <w:sz w:val="20"/>
                <w:szCs w:val="20"/>
              </w:rPr>
              <w:t>Odgovor podnositelju (nema osnove za postupanje)</w:t>
            </w:r>
          </w:p>
        </w:tc>
        <w:tc>
          <w:tcPr>
            <w:tcW w:w="1022" w:type="pct"/>
            <w:noWrap/>
            <w:vAlign w:val="center"/>
            <w:hideMark/>
          </w:tcPr>
          <w:p w14:paraId="0B5455ED" w14:textId="77777777" w:rsidR="007C569F" w:rsidRPr="002E5315" w:rsidRDefault="007C569F" w:rsidP="00AE078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64</w:t>
            </w:r>
          </w:p>
        </w:tc>
        <w:tc>
          <w:tcPr>
            <w:tcW w:w="1022" w:type="pct"/>
            <w:noWrap/>
            <w:vAlign w:val="center"/>
            <w:hideMark/>
          </w:tcPr>
          <w:p w14:paraId="3D710AC9" w14:textId="77777777" w:rsidR="007C569F" w:rsidRPr="002E5315" w:rsidRDefault="007C569F" w:rsidP="00AE078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25,40</w:t>
            </w:r>
          </w:p>
        </w:tc>
      </w:tr>
    </w:tbl>
    <w:p w14:paraId="52CEACF5" w14:textId="77777777" w:rsidR="00633D93" w:rsidRDefault="009A2FA8" w:rsidP="009A2FA8">
      <w:pPr>
        <w:tabs>
          <w:tab w:val="left" w:pos="-1843"/>
        </w:tabs>
        <w:spacing w:before="240"/>
        <w:rPr>
          <w:rFonts w:cs="Segoe UI"/>
          <w:szCs w:val="23"/>
        </w:rPr>
      </w:pPr>
      <w:r w:rsidRPr="002E5315">
        <w:rPr>
          <w:rFonts w:cs="Segoe UI"/>
          <w:szCs w:val="23"/>
        </w:rPr>
        <w:t>Valja napomenuti da su se u čak 64 predmeta (25,4% od ukupno zaprimljenog broja) korisnici prituživali na postupanje tijela, u kojima nije bilo osnove za postupanje Povjerenika jer se nije radilo o povredi ZPPI-ja već povredi propisa iz djelokruga tijela, a o čemu su povratno korisnici obaviješteni. Naime, korisnici vrlo često pribjegavaju podnošenju predstavke Povjereniku i kada se radi o postupanjima tijela iz njihova djelokruga (kod rješavanja pojedinačnih zahtjeva stranke ili traženja pojašnjenja, odgovora i sl. iz pojedinog upravnog područja), kako bi ukazali na neprimjereno trajanje postupka ili ignoriranje njihovih upita i pritužbi upućenih na rad tijela</w:t>
      </w:r>
      <w:r w:rsidR="00633D93">
        <w:rPr>
          <w:rFonts w:cs="Segoe UI"/>
          <w:szCs w:val="23"/>
        </w:rPr>
        <w:t>.</w:t>
      </w:r>
    </w:p>
    <w:p w14:paraId="5D1D70D0" w14:textId="630BB293" w:rsidR="005C510B" w:rsidRPr="002E5315" w:rsidRDefault="005C510B" w:rsidP="009803C5">
      <w:pPr>
        <w:pStyle w:val="Naslov1"/>
        <w:rPr>
          <w:lang w:eastAsia="en-US"/>
        </w:rPr>
      </w:pPr>
      <w:bookmarkStart w:id="48" w:name="_Toc477440648"/>
      <w:bookmarkStart w:id="49" w:name="_Toc480268885"/>
      <w:bookmarkStart w:id="50" w:name="_Toc36308952"/>
      <w:r w:rsidRPr="002E5315">
        <w:t>Inspekcijski</w:t>
      </w:r>
      <w:r w:rsidRPr="002E5315">
        <w:rPr>
          <w:lang w:eastAsia="en-US"/>
        </w:rPr>
        <w:t xml:space="preserve"> nadzor</w:t>
      </w:r>
      <w:bookmarkEnd w:id="48"/>
      <w:bookmarkEnd w:id="49"/>
      <w:bookmarkEnd w:id="50"/>
    </w:p>
    <w:p w14:paraId="4D7DB1A8" w14:textId="1BB2A998" w:rsidR="005C510B" w:rsidRPr="002E5315" w:rsidRDefault="009A2FA8" w:rsidP="005C510B">
      <w:pPr>
        <w:rPr>
          <w:szCs w:val="23"/>
          <w:lang w:eastAsia="en-US"/>
        </w:rPr>
      </w:pPr>
      <w:r w:rsidRPr="002E5315">
        <w:rPr>
          <w:szCs w:val="23"/>
          <w:lang w:eastAsia="en-US"/>
        </w:rPr>
        <w:t>Tijekom izvještajnog razdoblja Ured povjerenika je provodio: neposredne inspekcijske nadzore (izravnim uvidom u podatke, dokumentaciju, uvjete i način rada u nadziranom tijelu) prema Okvirnom godišnjem planu neposrednih inspekcijskih nadzora objavljenom na internetskoj stranici Povjerenika, kontrolne neposredne inspekcijske nadzore (ponovna kontrola već provedenog inspekcijskog nadzora), ciljane neposredne inspekcijske nadzore (s fokusom na predmet predstavke) i posredne inspekcijske nadzore (izravnim uvidom u dostavljene podatke i dokumentaciju s fokusom na predmet predstavke</w:t>
      </w:r>
      <w:r w:rsidR="005C510B" w:rsidRPr="002E5315">
        <w:rPr>
          <w:szCs w:val="23"/>
          <w:lang w:eastAsia="en-US"/>
        </w:rPr>
        <w:t>).</w:t>
      </w:r>
    </w:p>
    <w:p w14:paraId="6A15488E" w14:textId="2EEF1B20" w:rsidR="005C510B" w:rsidRPr="002E5315" w:rsidRDefault="005C510B" w:rsidP="005C510B">
      <w:pPr>
        <w:pStyle w:val="Naslov2"/>
        <w:rPr>
          <w:lang w:eastAsia="en-US"/>
        </w:rPr>
      </w:pPr>
      <w:bookmarkStart w:id="51" w:name="_Toc36308953"/>
      <w:r w:rsidRPr="002E5315">
        <w:rPr>
          <w:lang w:eastAsia="en-US"/>
        </w:rPr>
        <w:t>Neposredni inspekcijski nadzor</w:t>
      </w:r>
      <w:bookmarkEnd w:id="51"/>
      <w:r w:rsidRPr="002E5315">
        <w:rPr>
          <w:lang w:eastAsia="en-US"/>
        </w:rPr>
        <w:t xml:space="preserve"> </w:t>
      </w:r>
    </w:p>
    <w:p w14:paraId="277A1629" w14:textId="77777777" w:rsidR="009A2FA8" w:rsidRPr="002E5315" w:rsidRDefault="009A2FA8" w:rsidP="009A2FA8">
      <w:pPr>
        <w:rPr>
          <w:szCs w:val="23"/>
          <w:lang w:eastAsia="en-US"/>
        </w:rPr>
      </w:pPr>
      <w:r w:rsidRPr="002E5315">
        <w:rPr>
          <w:szCs w:val="23"/>
          <w:lang w:eastAsia="en-US"/>
        </w:rPr>
        <w:t>Godišnji plan provedbe neposrednih inspekcijskih nadzora utemeljen je na predstavkama korisnika, žalbama i praćenju objavljenih informacija na internetskim stranicama tijela javne vlasti, kao i na druge načine utvrđenom potrebom za objavljenjem inspekcijskog nadzora u određenim tijelima javne vlasti.</w:t>
      </w:r>
    </w:p>
    <w:p w14:paraId="2CD0C6CF" w14:textId="77777777" w:rsidR="00633D93" w:rsidRDefault="009A2FA8" w:rsidP="009A2FA8">
      <w:pPr>
        <w:rPr>
          <w:color w:val="000000"/>
          <w:szCs w:val="23"/>
          <w:lang w:eastAsia="en-US"/>
        </w:rPr>
      </w:pPr>
      <w:r w:rsidRPr="002E5315">
        <w:rPr>
          <w:color w:val="000000"/>
          <w:szCs w:val="23"/>
          <w:lang w:eastAsia="en-US"/>
        </w:rPr>
        <w:t xml:space="preserve">Pri određivanju broja nadzora i prioriteta uzeta je u obzir potreba da se inspekcijskim nadzorom obuhvate tijela javne vlasti različitih kategorija i područja rada zbog njihovih specifičnosti kako bi </w:t>
      </w:r>
      <w:r w:rsidRPr="002E5315">
        <w:rPr>
          <w:color w:val="000000"/>
          <w:szCs w:val="23"/>
          <w:lang w:eastAsia="en-US"/>
        </w:rPr>
        <w:lastRenderedPageBreak/>
        <w:t>se temeljem rezultata nadzora utvrdili sustavni problemi, ali i dobra praksa u pojedinim skupinama tijela</w:t>
      </w:r>
      <w:r w:rsidR="00633D93">
        <w:rPr>
          <w:color w:val="000000"/>
          <w:szCs w:val="23"/>
          <w:lang w:eastAsia="en-US"/>
        </w:rPr>
        <w:t>.</w:t>
      </w:r>
    </w:p>
    <w:p w14:paraId="05469771" w14:textId="77777777" w:rsidR="00633D93" w:rsidRDefault="009A2FA8" w:rsidP="009A2FA8">
      <w:pPr>
        <w:rPr>
          <w:szCs w:val="23"/>
          <w:lang w:eastAsia="en-US"/>
        </w:rPr>
      </w:pPr>
      <w:r w:rsidRPr="002E5315">
        <w:rPr>
          <w:b/>
          <w:bCs/>
          <w:szCs w:val="23"/>
          <w:lang w:eastAsia="en-US"/>
        </w:rPr>
        <w:t>Neposredni inspekcijski nadzor proveden je nad</w:t>
      </w:r>
      <w:r w:rsidRPr="002E5315">
        <w:rPr>
          <w:szCs w:val="23"/>
          <w:lang w:eastAsia="en-US"/>
        </w:rPr>
        <w:t xml:space="preserve"> </w:t>
      </w:r>
      <w:r w:rsidRPr="002E5315">
        <w:rPr>
          <w:b/>
          <w:bCs/>
          <w:szCs w:val="23"/>
          <w:lang w:eastAsia="en-US"/>
        </w:rPr>
        <w:t>20 tijela javne vlasti</w:t>
      </w:r>
      <w:r w:rsidRPr="002E5315">
        <w:rPr>
          <w:szCs w:val="23"/>
          <w:lang w:eastAsia="en-US"/>
        </w:rPr>
        <w:t xml:space="preserve"> (Tablica 5.1.)</w:t>
      </w:r>
      <w:r w:rsidRPr="002E5315">
        <w:rPr>
          <w:b/>
          <w:bCs/>
          <w:szCs w:val="23"/>
          <w:lang w:eastAsia="en-US"/>
        </w:rPr>
        <w:t xml:space="preserve">, </w:t>
      </w:r>
      <w:r w:rsidRPr="002E5315">
        <w:rPr>
          <w:szCs w:val="23"/>
          <w:lang w:eastAsia="en-US"/>
        </w:rPr>
        <w:t>što je smanjenje u odnosu na 2018. i 2017. godinu kada je neposredni inspekcijski nadzor proveden nad 26 tijela javne vlasti. Navedeno je rezultat drugačije organizacije rada i</w:t>
      </w:r>
      <w:r w:rsidR="00954DB8" w:rsidRPr="002E5315">
        <w:rPr>
          <w:szCs w:val="23"/>
          <w:lang w:eastAsia="en-US"/>
        </w:rPr>
        <w:t xml:space="preserve"> </w:t>
      </w:r>
      <w:r w:rsidRPr="002E5315">
        <w:rPr>
          <w:szCs w:val="23"/>
          <w:lang w:eastAsia="en-US"/>
        </w:rPr>
        <w:t>određivanja prioriteta,</w:t>
      </w:r>
      <w:r w:rsidR="00954DB8" w:rsidRPr="002E5315">
        <w:rPr>
          <w:szCs w:val="23"/>
          <w:lang w:eastAsia="en-US"/>
        </w:rPr>
        <w:t xml:space="preserve"> </w:t>
      </w:r>
      <w:r w:rsidRPr="002E5315">
        <w:rPr>
          <w:szCs w:val="23"/>
          <w:lang w:eastAsia="en-US"/>
        </w:rPr>
        <w:t>na način da je</w:t>
      </w:r>
      <w:r w:rsidR="00954DB8" w:rsidRPr="002E5315">
        <w:rPr>
          <w:szCs w:val="23"/>
          <w:lang w:eastAsia="en-US"/>
        </w:rPr>
        <w:t xml:space="preserve"> </w:t>
      </w:r>
      <w:r w:rsidRPr="002E5315">
        <w:rPr>
          <w:szCs w:val="23"/>
          <w:lang w:eastAsia="en-US"/>
        </w:rPr>
        <w:t>povećan broj posrednih inspkecijskih nadzora, usmjerenih na ciljane nepravilnosti na koja je ukazano predstavkama. Provedbom posrednih inspekcijskih nadzora se postiže isti učinak, uz manje materijalne troškove provedbe</w:t>
      </w:r>
      <w:r w:rsidR="00633D93">
        <w:rPr>
          <w:szCs w:val="23"/>
          <w:lang w:eastAsia="en-US"/>
        </w:rPr>
        <w:t>.</w:t>
      </w:r>
    </w:p>
    <w:p w14:paraId="3AFD780A" w14:textId="6067B2E3" w:rsidR="005C510B" w:rsidRPr="002E5315" w:rsidRDefault="005C510B" w:rsidP="005C510B">
      <w:pPr>
        <w:rPr>
          <w:sz w:val="20"/>
          <w:szCs w:val="20"/>
          <w:lang w:eastAsia="en-US"/>
        </w:rPr>
      </w:pPr>
      <w:r w:rsidRPr="002E5315">
        <w:rPr>
          <w:sz w:val="20"/>
          <w:szCs w:val="20"/>
          <w:lang w:eastAsia="en-US"/>
        </w:rPr>
        <w:t>Tablica 5.1. Tijela javne vlasti nad kojima je proveden neposredni inspekcijski nadzor u 2019.</w:t>
      </w:r>
    </w:p>
    <w:tbl>
      <w:tblPr>
        <w:tblW w:w="9288" w:type="dxa"/>
        <w:tblBorders>
          <w:top w:val="single" w:sz="8" w:space="0" w:color="4F81BD"/>
          <w:bottom w:val="single" w:sz="8" w:space="0" w:color="4F81BD"/>
        </w:tblBorders>
        <w:tblLook w:val="04A0" w:firstRow="1" w:lastRow="0" w:firstColumn="1" w:lastColumn="0" w:noHBand="0" w:noVBand="1"/>
      </w:tblPr>
      <w:tblGrid>
        <w:gridCol w:w="2376"/>
        <w:gridCol w:w="993"/>
        <w:gridCol w:w="4846"/>
        <w:gridCol w:w="1073"/>
      </w:tblGrid>
      <w:tr w:rsidR="005C510B" w:rsidRPr="002E5315" w14:paraId="268414C8" w14:textId="77777777" w:rsidTr="00361CEF">
        <w:trPr>
          <w:trHeight w:val="398"/>
        </w:trPr>
        <w:tc>
          <w:tcPr>
            <w:tcW w:w="2376" w:type="dxa"/>
            <w:tcBorders>
              <w:top w:val="single" w:sz="8" w:space="0" w:color="4F81BD"/>
              <w:left w:val="nil"/>
              <w:bottom w:val="single" w:sz="8" w:space="0" w:color="4F81BD"/>
              <w:right w:val="nil"/>
            </w:tcBorders>
            <w:noWrap/>
            <w:vAlign w:val="center"/>
            <w:hideMark/>
          </w:tcPr>
          <w:p w14:paraId="28F2E795" w14:textId="77777777" w:rsidR="005C510B" w:rsidRPr="002E5315" w:rsidRDefault="005C510B" w:rsidP="00361CEF">
            <w:pPr>
              <w:jc w:val="center"/>
              <w:rPr>
                <w:rFonts w:cs="Arial"/>
                <w:b/>
                <w:bCs/>
                <w:sz w:val="20"/>
                <w:szCs w:val="20"/>
              </w:rPr>
            </w:pPr>
            <w:r w:rsidRPr="002E5315">
              <w:rPr>
                <w:rFonts w:cs="Arial"/>
                <w:b/>
                <w:bCs/>
                <w:sz w:val="20"/>
                <w:szCs w:val="20"/>
              </w:rPr>
              <w:t>Vrsta tijela</w:t>
            </w:r>
          </w:p>
        </w:tc>
        <w:tc>
          <w:tcPr>
            <w:tcW w:w="993" w:type="dxa"/>
            <w:tcBorders>
              <w:top w:val="single" w:sz="8" w:space="0" w:color="4F81BD"/>
              <w:left w:val="nil"/>
              <w:bottom w:val="single" w:sz="8" w:space="0" w:color="4F81BD"/>
              <w:right w:val="nil"/>
            </w:tcBorders>
            <w:vAlign w:val="center"/>
          </w:tcPr>
          <w:p w14:paraId="09AB11B4" w14:textId="77777777" w:rsidR="005C510B" w:rsidRPr="002E5315" w:rsidRDefault="005C510B" w:rsidP="00361CEF">
            <w:pPr>
              <w:jc w:val="center"/>
              <w:rPr>
                <w:rFonts w:cs="Arial"/>
                <w:b/>
                <w:bCs/>
                <w:sz w:val="20"/>
                <w:szCs w:val="20"/>
              </w:rPr>
            </w:pPr>
            <w:r w:rsidRPr="002E5315">
              <w:rPr>
                <w:rFonts w:cs="Arial"/>
                <w:b/>
                <w:bCs/>
                <w:sz w:val="20"/>
                <w:szCs w:val="20"/>
              </w:rPr>
              <w:t>Broj nadzora</w:t>
            </w:r>
          </w:p>
        </w:tc>
        <w:tc>
          <w:tcPr>
            <w:tcW w:w="4846" w:type="dxa"/>
            <w:tcBorders>
              <w:top w:val="single" w:sz="8" w:space="0" w:color="4F81BD"/>
              <w:left w:val="nil"/>
              <w:bottom w:val="single" w:sz="8" w:space="0" w:color="4F81BD"/>
              <w:right w:val="nil"/>
            </w:tcBorders>
            <w:vAlign w:val="center"/>
          </w:tcPr>
          <w:p w14:paraId="02D2E050" w14:textId="77777777" w:rsidR="005C510B" w:rsidRPr="002E5315" w:rsidRDefault="005C510B" w:rsidP="00361CEF">
            <w:pPr>
              <w:jc w:val="center"/>
              <w:rPr>
                <w:rFonts w:cs="Arial"/>
                <w:b/>
                <w:bCs/>
                <w:sz w:val="20"/>
                <w:szCs w:val="20"/>
              </w:rPr>
            </w:pPr>
            <w:r w:rsidRPr="002E5315">
              <w:rPr>
                <w:rFonts w:cs="Arial"/>
                <w:b/>
                <w:bCs/>
                <w:sz w:val="20"/>
                <w:szCs w:val="20"/>
              </w:rPr>
              <w:t>Tijela javne vlasti</w:t>
            </w:r>
          </w:p>
        </w:tc>
        <w:tc>
          <w:tcPr>
            <w:tcW w:w="1073" w:type="dxa"/>
            <w:tcBorders>
              <w:top w:val="single" w:sz="8" w:space="0" w:color="4F81BD"/>
              <w:left w:val="nil"/>
              <w:bottom w:val="single" w:sz="8" w:space="0" w:color="4F81BD"/>
              <w:right w:val="nil"/>
            </w:tcBorders>
            <w:vAlign w:val="center"/>
          </w:tcPr>
          <w:p w14:paraId="6EF42032" w14:textId="77777777" w:rsidR="005C510B" w:rsidRPr="002E5315" w:rsidRDefault="005C510B" w:rsidP="00361CEF">
            <w:pPr>
              <w:jc w:val="center"/>
              <w:rPr>
                <w:rFonts w:cs="Arial"/>
                <w:b/>
                <w:bCs/>
                <w:sz w:val="20"/>
                <w:szCs w:val="20"/>
              </w:rPr>
            </w:pPr>
            <w:r w:rsidRPr="002E5315">
              <w:rPr>
                <w:rFonts w:cs="Arial"/>
                <w:b/>
                <w:bCs/>
                <w:sz w:val="20"/>
                <w:szCs w:val="20"/>
              </w:rPr>
              <w:t>Broj izrečenih mjera</w:t>
            </w:r>
          </w:p>
        </w:tc>
      </w:tr>
      <w:tr w:rsidR="005C510B" w:rsidRPr="002E5315" w14:paraId="4DA0CC28" w14:textId="77777777" w:rsidTr="000C39A7">
        <w:trPr>
          <w:trHeight w:val="252"/>
        </w:trPr>
        <w:tc>
          <w:tcPr>
            <w:tcW w:w="2376" w:type="dxa"/>
            <w:shd w:val="clear" w:color="auto" w:fill="D9E2F3" w:themeFill="accent1" w:themeFillTint="33"/>
            <w:noWrap/>
            <w:vAlign w:val="center"/>
          </w:tcPr>
          <w:p w14:paraId="341DF561" w14:textId="77777777" w:rsidR="005C510B" w:rsidRPr="002E5315" w:rsidRDefault="005C510B" w:rsidP="00361CEF">
            <w:pPr>
              <w:jc w:val="center"/>
              <w:rPr>
                <w:b/>
                <w:bCs/>
                <w:sz w:val="20"/>
                <w:szCs w:val="20"/>
              </w:rPr>
            </w:pPr>
            <w:r w:rsidRPr="002E5315">
              <w:rPr>
                <w:b/>
                <w:bCs/>
                <w:sz w:val="20"/>
                <w:szCs w:val="20"/>
              </w:rPr>
              <w:t>Tijela državne uprave</w:t>
            </w:r>
          </w:p>
        </w:tc>
        <w:tc>
          <w:tcPr>
            <w:tcW w:w="993" w:type="dxa"/>
            <w:shd w:val="clear" w:color="auto" w:fill="D9E2F3" w:themeFill="accent1" w:themeFillTint="33"/>
            <w:vAlign w:val="center"/>
          </w:tcPr>
          <w:p w14:paraId="7C5B50F8" w14:textId="77777777" w:rsidR="005C510B" w:rsidRPr="002E5315" w:rsidRDefault="005C510B" w:rsidP="00361CEF">
            <w:pPr>
              <w:jc w:val="center"/>
              <w:rPr>
                <w:sz w:val="20"/>
                <w:szCs w:val="20"/>
              </w:rPr>
            </w:pPr>
            <w:r w:rsidRPr="002E5315">
              <w:rPr>
                <w:sz w:val="20"/>
                <w:szCs w:val="20"/>
              </w:rPr>
              <w:t>3</w:t>
            </w:r>
          </w:p>
        </w:tc>
        <w:tc>
          <w:tcPr>
            <w:tcW w:w="4846" w:type="dxa"/>
            <w:shd w:val="clear" w:color="auto" w:fill="D9E2F3" w:themeFill="accent1" w:themeFillTint="33"/>
            <w:vAlign w:val="center"/>
          </w:tcPr>
          <w:p w14:paraId="563E25EA" w14:textId="77777777" w:rsidR="005C510B" w:rsidRPr="002E5315" w:rsidRDefault="005C510B" w:rsidP="000C39A7">
            <w:pPr>
              <w:jc w:val="left"/>
              <w:rPr>
                <w:sz w:val="20"/>
                <w:szCs w:val="20"/>
              </w:rPr>
            </w:pPr>
            <w:r w:rsidRPr="002E5315">
              <w:rPr>
                <w:sz w:val="20"/>
                <w:szCs w:val="20"/>
              </w:rPr>
              <w:t>Ministarstvo financija - Porezna uprava, Ministarstvo gospodarstva, poduzetništva i obrta, Ministarstvo zdravstva</w:t>
            </w:r>
          </w:p>
        </w:tc>
        <w:tc>
          <w:tcPr>
            <w:tcW w:w="1073" w:type="dxa"/>
            <w:shd w:val="clear" w:color="auto" w:fill="D9E2F3" w:themeFill="accent1" w:themeFillTint="33"/>
            <w:vAlign w:val="center"/>
          </w:tcPr>
          <w:p w14:paraId="29416A89" w14:textId="77777777" w:rsidR="005C510B" w:rsidRPr="002E5315" w:rsidRDefault="005C510B" w:rsidP="00361CEF">
            <w:pPr>
              <w:jc w:val="center"/>
              <w:rPr>
                <w:sz w:val="20"/>
                <w:szCs w:val="20"/>
              </w:rPr>
            </w:pPr>
            <w:r w:rsidRPr="002E5315">
              <w:rPr>
                <w:sz w:val="20"/>
                <w:szCs w:val="20"/>
              </w:rPr>
              <w:t>29</w:t>
            </w:r>
          </w:p>
        </w:tc>
      </w:tr>
      <w:tr w:rsidR="005C510B" w:rsidRPr="002E5315" w14:paraId="2D756EDD" w14:textId="77777777" w:rsidTr="000C39A7">
        <w:trPr>
          <w:trHeight w:val="1044"/>
        </w:trPr>
        <w:tc>
          <w:tcPr>
            <w:tcW w:w="2376" w:type="dxa"/>
            <w:tcBorders>
              <w:left w:val="nil"/>
              <w:right w:val="nil"/>
            </w:tcBorders>
            <w:shd w:val="clear" w:color="auto" w:fill="FFFFFF" w:themeFill="background1"/>
            <w:noWrap/>
            <w:vAlign w:val="center"/>
            <w:hideMark/>
          </w:tcPr>
          <w:p w14:paraId="2CC4F1D3" w14:textId="77777777" w:rsidR="005C510B" w:rsidRPr="002E5315" w:rsidRDefault="005C510B" w:rsidP="00E41146">
            <w:pPr>
              <w:jc w:val="left"/>
              <w:rPr>
                <w:rFonts w:cs="Arial"/>
                <w:b/>
                <w:bCs/>
                <w:sz w:val="20"/>
                <w:szCs w:val="20"/>
              </w:rPr>
            </w:pPr>
            <w:r w:rsidRPr="002E5315">
              <w:rPr>
                <w:rFonts w:cs="Arial"/>
                <w:b/>
                <w:bCs/>
                <w:sz w:val="20"/>
                <w:szCs w:val="20"/>
              </w:rPr>
              <w:t>Agencije i druge pravne osobe s javnim ovlastima RH</w:t>
            </w:r>
          </w:p>
        </w:tc>
        <w:tc>
          <w:tcPr>
            <w:tcW w:w="993" w:type="dxa"/>
            <w:tcBorders>
              <w:left w:val="nil"/>
              <w:right w:val="nil"/>
            </w:tcBorders>
            <w:shd w:val="clear" w:color="auto" w:fill="FFFFFF" w:themeFill="background1"/>
            <w:vAlign w:val="center"/>
          </w:tcPr>
          <w:p w14:paraId="1A7DF695" w14:textId="77777777" w:rsidR="005C510B" w:rsidRPr="002E5315" w:rsidRDefault="005C510B" w:rsidP="00361CEF">
            <w:pPr>
              <w:jc w:val="center"/>
              <w:rPr>
                <w:rFonts w:cs="Arial"/>
                <w:sz w:val="20"/>
                <w:szCs w:val="20"/>
              </w:rPr>
            </w:pPr>
            <w:r w:rsidRPr="002E5315">
              <w:rPr>
                <w:rFonts w:cs="Arial"/>
                <w:sz w:val="20"/>
                <w:szCs w:val="20"/>
              </w:rPr>
              <w:t>1</w:t>
            </w:r>
          </w:p>
        </w:tc>
        <w:tc>
          <w:tcPr>
            <w:tcW w:w="4846" w:type="dxa"/>
            <w:tcBorders>
              <w:left w:val="nil"/>
              <w:right w:val="nil"/>
            </w:tcBorders>
            <w:shd w:val="clear" w:color="auto" w:fill="FFFFFF" w:themeFill="background1"/>
            <w:vAlign w:val="center"/>
          </w:tcPr>
          <w:p w14:paraId="6D697E2E" w14:textId="77777777" w:rsidR="005C510B" w:rsidRPr="002E5315" w:rsidRDefault="005C510B" w:rsidP="000C39A7">
            <w:pPr>
              <w:jc w:val="left"/>
              <w:rPr>
                <w:rFonts w:cs="Arial"/>
                <w:sz w:val="20"/>
                <w:szCs w:val="20"/>
              </w:rPr>
            </w:pPr>
            <w:r w:rsidRPr="002E5315">
              <w:rPr>
                <w:rFonts w:cs="Arial"/>
                <w:sz w:val="20"/>
                <w:szCs w:val="20"/>
              </w:rPr>
              <w:t>Hrvatski zavod za mirovinsko osiguranje</w:t>
            </w:r>
          </w:p>
        </w:tc>
        <w:tc>
          <w:tcPr>
            <w:tcW w:w="1073" w:type="dxa"/>
            <w:tcBorders>
              <w:left w:val="nil"/>
              <w:right w:val="nil"/>
            </w:tcBorders>
            <w:shd w:val="clear" w:color="auto" w:fill="FFFFFF" w:themeFill="background1"/>
            <w:vAlign w:val="center"/>
          </w:tcPr>
          <w:p w14:paraId="031A9291" w14:textId="77777777" w:rsidR="005C510B" w:rsidRPr="002E5315" w:rsidRDefault="005C510B" w:rsidP="00361CEF">
            <w:pPr>
              <w:jc w:val="center"/>
              <w:rPr>
                <w:rFonts w:cs="Arial"/>
                <w:sz w:val="20"/>
                <w:szCs w:val="20"/>
              </w:rPr>
            </w:pPr>
            <w:r w:rsidRPr="002E5315">
              <w:rPr>
                <w:rFonts w:cs="Arial"/>
                <w:sz w:val="20"/>
                <w:szCs w:val="20"/>
              </w:rPr>
              <w:t>7</w:t>
            </w:r>
          </w:p>
        </w:tc>
      </w:tr>
      <w:tr w:rsidR="005C510B" w:rsidRPr="002E5315" w14:paraId="6303A72E" w14:textId="77777777" w:rsidTr="000C39A7">
        <w:trPr>
          <w:trHeight w:val="593"/>
        </w:trPr>
        <w:tc>
          <w:tcPr>
            <w:tcW w:w="2376" w:type="dxa"/>
            <w:shd w:val="clear" w:color="auto" w:fill="D9E2F3" w:themeFill="accent1" w:themeFillTint="33"/>
            <w:noWrap/>
            <w:vAlign w:val="center"/>
            <w:hideMark/>
          </w:tcPr>
          <w:p w14:paraId="0D2AD1E2" w14:textId="77777777" w:rsidR="005C510B" w:rsidRPr="002E5315" w:rsidRDefault="005C510B" w:rsidP="00E41146">
            <w:pPr>
              <w:jc w:val="left"/>
              <w:rPr>
                <w:b/>
                <w:bCs/>
                <w:sz w:val="20"/>
                <w:szCs w:val="20"/>
              </w:rPr>
            </w:pPr>
            <w:r w:rsidRPr="002E5315">
              <w:rPr>
                <w:b/>
                <w:bCs/>
                <w:sz w:val="20"/>
                <w:szCs w:val="20"/>
              </w:rPr>
              <w:t>JLP(R)S</w:t>
            </w:r>
          </w:p>
        </w:tc>
        <w:tc>
          <w:tcPr>
            <w:tcW w:w="993" w:type="dxa"/>
            <w:shd w:val="clear" w:color="auto" w:fill="D9E2F3" w:themeFill="accent1" w:themeFillTint="33"/>
            <w:vAlign w:val="center"/>
          </w:tcPr>
          <w:p w14:paraId="3EC27B0E" w14:textId="77777777" w:rsidR="005C510B" w:rsidRPr="002E5315" w:rsidRDefault="005C510B" w:rsidP="00361CEF">
            <w:pPr>
              <w:jc w:val="center"/>
              <w:rPr>
                <w:sz w:val="20"/>
                <w:szCs w:val="20"/>
              </w:rPr>
            </w:pPr>
            <w:r w:rsidRPr="002E5315">
              <w:rPr>
                <w:sz w:val="20"/>
                <w:szCs w:val="20"/>
              </w:rPr>
              <w:t>7</w:t>
            </w:r>
          </w:p>
        </w:tc>
        <w:tc>
          <w:tcPr>
            <w:tcW w:w="4846" w:type="dxa"/>
            <w:shd w:val="clear" w:color="auto" w:fill="D9E2F3" w:themeFill="accent1" w:themeFillTint="33"/>
            <w:vAlign w:val="center"/>
          </w:tcPr>
          <w:p w14:paraId="45F7AB84" w14:textId="77777777" w:rsidR="005C510B" w:rsidRPr="002E5315" w:rsidRDefault="005C510B" w:rsidP="000C39A7">
            <w:pPr>
              <w:jc w:val="left"/>
              <w:rPr>
                <w:sz w:val="20"/>
                <w:szCs w:val="20"/>
              </w:rPr>
            </w:pPr>
            <w:r w:rsidRPr="002E5315">
              <w:rPr>
                <w:sz w:val="20"/>
                <w:szCs w:val="20"/>
              </w:rPr>
              <w:t>Gradovi: Rijeka, Zadar, Supetar, Samobor</w:t>
            </w:r>
          </w:p>
          <w:p w14:paraId="497BC237" w14:textId="77777777" w:rsidR="005C510B" w:rsidRPr="002E5315" w:rsidRDefault="005C510B" w:rsidP="000C39A7">
            <w:pPr>
              <w:jc w:val="left"/>
              <w:rPr>
                <w:sz w:val="20"/>
                <w:szCs w:val="20"/>
              </w:rPr>
            </w:pPr>
            <w:r w:rsidRPr="002E5315">
              <w:rPr>
                <w:sz w:val="20"/>
                <w:szCs w:val="20"/>
              </w:rPr>
              <w:t>Općine: Milna, Stankovci, Dubrava</w:t>
            </w:r>
          </w:p>
        </w:tc>
        <w:tc>
          <w:tcPr>
            <w:tcW w:w="1073" w:type="dxa"/>
            <w:shd w:val="clear" w:color="auto" w:fill="D9E2F3" w:themeFill="accent1" w:themeFillTint="33"/>
            <w:vAlign w:val="center"/>
          </w:tcPr>
          <w:p w14:paraId="2BD69AF6" w14:textId="77777777" w:rsidR="005C510B" w:rsidRPr="002E5315" w:rsidRDefault="005C510B" w:rsidP="00361CEF">
            <w:pPr>
              <w:jc w:val="center"/>
              <w:rPr>
                <w:sz w:val="20"/>
                <w:szCs w:val="20"/>
              </w:rPr>
            </w:pPr>
            <w:r w:rsidRPr="002E5315">
              <w:rPr>
                <w:sz w:val="20"/>
                <w:szCs w:val="20"/>
              </w:rPr>
              <w:t>66</w:t>
            </w:r>
          </w:p>
        </w:tc>
      </w:tr>
      <w:tr w:rsidR="005C510B" w:rsidRPr="002E5315" w14:paraId="6848C424" w14:textId="77777777" w:rsidTr="000C39A7">
        <w:trPr>
          <w:trHeight w:val="252"/>
        </w:trPr>
        <w:tc>
          <w:tcPr>
            <w:tcW w:w="2376" w:type="dxa"/>
            <w:tcBorders>
              <w:left w:val="nil"/>
              <w:right w:val="nil"/>
            </w:tcBorders>
            <w:shd w:val="clear" w:color="auto" w:fill="FFFFFF" w:themeFill="background1"/>
            <w:noWrap/>
            <w:vAlign w:val="center"/>
          </w:tcPr>
          <w:p w14:paraId="1E318B6C" w14:textId="77777777" w:rsidR="005C510B" w:rsidRPr="002E5315" w:rsidRDefault="005C510B" w:rsidP="00E41146">
            <w:pPr>
              <w:jc w:val="left"/>
              <w:rPr>
                <w:b/>
                <w:bCs/>
                <w:sz w:val="20"/>
                <w:szCs w:val="20"/>
              </w:rPr>
            </w:pPr>
            <w:r w:rsidRPr="002E5315">
              <w:rPr>
                <w:b/>
                <w:bCs/>
                <w:sz w:val="20"/>
                <w:szCs w:val="20"/>
              </w:rPr>
              <w:t xml:space="preserve"> Ustanove</w:t>
            </w:r>
          </w:p>
        </w:tc>
        <w:tc>
          <w:tcPr>
            <w:tcW w:w="993" w:type="dxa"/>
            <w:tcBorders>
              <w:left w:val="nil"/>
              <w:right w:val="nil"/>
            </w:tcBorders>
            <w:shd w:val="clear" w:color="auto" w:fill="FFFFFF" w:themeFill="background1"/>
            <w:vAlign w:val="center"/>
          </w:tcPr>
          <w:p w14:paraId="6DBE5D70" w14:textId="77777777" w:rsidR="005C510B" w:rsidRPr="002E5315" w:rsidRDefault="005C510B" w:rsidP="00361CEF">
            <w:pPr>
              <w:jc w:val="center"/>
              <w:rPr>
                <w:sz w:val="20"/>
                <w:szCs w:val="20"/>
              </w:rPr>
            </w:pPr>
            <w:r w:rsidRPr="002E5315">
              <w:rPr>
                <w:sz w:val="20"/>
                <w:szCs w:val="20"/>
              </w:rPr>
              <w:t>3</w:t>
            </w:r>
          </w:p>
        </w:tc>
        <w:tc>
          <w:tcPr>
            <w:tcW w:w="4846" w:type="dxa"/>
            <w:tcBorders>
              <w:left w:val="nil"/>
              <w:right w:val="nil"/>
            </w:tcBorders>
            <w:shd w:val="clear" w:color="auto" w:fill="FFFFFF" w:themeFill="background1"/>
            <w:vAlign w:val="center"/>
          </w:tcPr>
          <w:p w14:paraId="3B137C29" w14:textId="77777777" w:rsidR="005C510B" w:rsidRPr="002E5315" w:rsidRDefault="005C510B" w:rsidP="000C39A7">
            <w:pPr>
              <w:jc w:val="left"/>
              <w:rPr>
                <w:sz w:val="20"/>
                <w:szCs w:val="20"/>
              </w:rPr>
            </w:pPr>
            <w:r w:rsidRPr="002E5315">
              <w:rPr>
                <w:sz w:val="20"/>
                <w:szCs w:val="20"/>
              </w:rPr>
              <w:t>Ekonomska, trgovačka i ugostiteljska škola Samobor,</w:t>
            </w:r>
          </w:p>
          <w:p w14:paraId="758F0F14" w14:textId="77777777" w:rsidR="005C510B" w:rsidRPr="002E5315" w:rsidRDefault="005C510B" w:rsidP="000C39A7">
            <w:pPr>
              <w:jc w:val="left"/>
              <w:rPr>
                <w:sz w:val="20"/>
                <w:szCs w:val="20"/>
              </w:rPr>
            </w:pPr>
            <w:r w:rsidRPr="002E5315">
              <w:rPr>
                <w:sz w:val="20"/>
                <w:szCs w:val="20"/>
              </w:rPr>
              <w:t>Samoborski muzej, Narodno sveučilište Sesvete</w:t>
            </w:r>
          </w:p>
        </w:tc>
        <w:tc>
          <w:tcPr>
            <w:tcW w:w="1073" w:type="dxa"/>
            <w:tcBorders>
              <w:left w:val="nil"/>
              <w:right w:val="nil"/>
            </w:tcBorders>
            <w:shd w:val="clear" w:color="auto" w:fill="FFFFFF" w:themeFill="background1"/>
            <w:vAlign w:val="center"/>
          </w:tcPr>
          <w:p w14:paraId="0C425879" w14:textId="77777777" w:rsidR="005C510B" w:rsidRPr="002E5315" w:rsidRDefault="005C510B" w:rsidP="00361CEF">
            <w:pPr>
              <w:jc w:val="center"/>
              <w:rPr>
                <w:sz w:val="20"/>
                <w:szCs w:val="20"/>
              </w:rPr>
            </w:pPr>
            <w:r w:rsidRPr="002E5315">
              <w:rPr>
                <w:sz w:val="20"/>
                <w:szCs w:val="20"/>
              </w:rPr>
              <w:t>14</w:t>
            </w:r>
          </w:p>
        </w:tc>
      </w:tr>
      <w:tr w:rsidR="005C510B" w:rsidRPr="002E5315" w14:paraId="1E89405F" w14:textId="77777777" w:rsidTr="000C39A7">
        <w:trPr>
          <w:trHeight w:val="252"/>
        </w:trPr>
        <w:tc>
          <w:tcPr>
            <w:tcW w:w="2376" w:type="dxa"/>
            <w:shd w:val="clear" w:color="auto" w:fill="D9E2F3" w:themeFill="accent1" w:themeFillTint="33"/>
            <w:noWrap/>
            <w:vAlign w:val="center"/>
            <w:hideMark/>
          </w:tcPr>
          <w:p w14:paraId="4A997D08" w14:textId="77777777" w:rsidR="005C510B" w:rsidRPr="002E5315" w:rsidRDefault="005C510B" w:rsidP="00E41146">
            <w:pPr>
              <w:jc w:val="left"/>
              <w:rPr>
                <w:rFonts w:cs="Arial"/>
                <w:b/>
                <w:bCs/>
                <w:sz w:val="20"/>
                <w:szCs w:val="20"/>
              </w:rPr>
            </w:pPr>
            <w:r w:rsidRPr="002E5315">
              <w:rPr>
                <w:rFonts w:cs="Arial"/>
                <w:b/>
                <w:bCs/>
                <w:sz w:val="20"/>
                <w:szCs w:val="20"/>
              </w:rPr>
              <w:t xml:space="preserve">Trgovačka društva </w:t>
            </w:r>
          </w:p>
        </w:tc>
        <w:tc>
          <w:tcPr>
            <w:tcW w:w="993" w:type="dxa"/>
            <w:shd w:val="clear" w:color="auto" w:fill="D9E2F3" w:themeFill="accent1" w:themeFillTint="33"/>
            <w:vAlign w:val="center"/>
          </w:tcPr>
          <w:p w14:paraId="7D5E8195" w14:textId="77777777" w:rsidR="005C510B" w:rsidRPr="002E5315" w:rsidRDefault="005C510B" w:rsidP="00361CEF">
            <w:pPr>
              <w:jc w:val="center"/>
              <w:rPr>
                <w:rFonts w:cs="Arial"/>
                <w:sz w:val="20"/>
                <w:szCs w:val="20"/>
              </w:rPr>
            </w:pPr>
            <w:r w:rsidRPr="002E5315">
              <w:rPr>
                <w:rFonts w:cs="Arial"/>
                <w:sz w:val="20"/>
                <w:szCs w:val="20"/>
              </w:rPr>
              <w:t>4</w:t>
            </w:r>
          </w:p>
        </w:tc>
        <w:tc>
          <w:tcPr>
            <w:tcW w:w="4846" w:type="dxa"/>
            <w:shd w:val="clear" w:color="auto" w:fill="D9E2F3" w:themeFill="accent1" w:themeFillTint="33"/>
            <w:vAlign w:val="center"/>
          </w:tcPr>
          <w:p w14:paraId="2D9E1DA0" w14:textId="77777777" w:rsidR="005C510B" w:rsidRPr="002E5315" w:rsidRDefault="005C510B" w:rsidP="000C39A7">
            <w:pPr>
              <w:jc w:val="left"/>
              <w:rPr>
                <w:rFonts w:cs="Arial"/>
                <w:sz w:val="20"/>
                <w:szCs w:val="20"/>
              </w:rPr>
            </w:pPr>
            <w:r w:rsidRPr="002E5315">
              <w:rPr>
                <w:rFonts w:cs="Arial"/>
                <w:sz w:val="20"/>
                <w:szCs w:val="20"/>
              </w:rPr>
              <w:t>Obala i lučice d.o.o., Zagrebački Velesajam d.o.o., Stano-uprava d.o.o., Razvojna agencija Split (RaST d.o.o.)</w:t>
            </w:r>
          </w:p>
        </w:tc>
        <w:tc>
          <w:tcPr>
            <w:tcW w:w="1073" w:type="dxa"/>
            <w:shd w:val="clear" w:color="auto" w:fill="D9E2F3" w:themeFill="accent1" w:themeFillTint="33"/>
            <w:vAlign w:val="center"/>
          </w:tcPr>
          <w:p w14:paraId="25E35D91" w14:textId="77777777" w:rsidR="005C510B" w:rsidRPr="002E5315" w:rsidRDefault="005C510B" w:rsidP="00361CEF">
            <w:pPr>
              <w:jc w:val="center"/>
              <w:rPr>
                <w:rFonts w:cs="Arial"/>
                <w:sz w:val="20"/>
                <w:szCs w:val="20"/>
              </w:rPr>
            </w:pPr>
            <w:r w:rsidRPr="002E5315">
              <w:rPr>
                <w:rFonts w:cs="Arial"/>
                <w:sz w:val="20"/>
                <w:szCs w:val="20"/>
              </w:rPr>
              <w:t>25</w:t>
            </w:r>
          </w:p>
        </w:tc>
      </w:tr>
      <w:tr w:rsidR="005C510B" w:rsidRPr="002E5315" w14:paraId="1388E49A" w14:textId="77777777" w:rsidTr="000C39A7">
        <w:trPr>
          <w:trHeight w:val="252"/>
        </w:trPr>
        <w:tc>
          <w:tcPr>
            <w:tcW w:w="2376" w:type="dxa"/>
            <w:tcBorders>
              <w:left w:val="nil"/>
              <w:right w:val="nil"/>
            </w:tcBorders>
            <w:shd w:val="clear" w:color="auto" w:fill="FFFFFF" w:themeFill="background1"/>
            <w:noWrap/>
            <w:vAlign w:val="center"/>
          </w:tcPr>
          <w:p w14:paraId="127734F0" w14:textId="77777777" w:rsidR="005C510B" w:rsidRPr="002E5315" w:rsidRDefault="005C510B" w:rsidP="00E41146">
            <w:pPr>
              <w:jc w:val="left"/>
              <w:rPr>
                <w:b/>
                <w:bCs/>
                <w:sz w:val="20"/>
                <w:szCs w:val="20"/>
              </w:rPr>
            </w:pPr>
            <w:r w:rsidRPr="002E5315">
              <w:rPr>
                <w:b/>
                <w:bCs/>
                <w:sz w:val="20"/>
                <w:szCs w:val="20"/>
              </w:rPr>
              <w:t>Udruge</w:t>
            </w:r>
          </w:p>
        </w:tc>
        <w:tc>
          <w:tcPr>
            <w:tcW w:w="993" w:type="dxa"/>
            <w:tcBorders>
              <w:left w:val="nil"/>
              <w:right w:val="nil"/>
            </w:tcBorders>
            <w:shd w:val="clear" w:color="auto" w:fill="FFFFFF" w:themeFill="background1"/>
            <w:vAlign w:val="center"/>
          </w:tcPr>
          <w:p w14:paraId="0236860D" w14:textId="77777777" w:rsidR="005C510B" w:rsidRPr="002E5315" w:rsidRDefault="005C510B" w:rsidP="00361CEF">
            <w:pPr>
              <w:jc w:val="center"/>
              <w:rPr>
                <w:sz w:val="20"/>
                <w:szCs w:val="20"/>
              </w:rPr>
            </w:pPr>
            <w:r w:rsidRPr="002E5315">
              <w:rPr>
                <w:sz w:val="20"/>
                <w:szCs w:val="20"/>
              </w:rPr>
              <w:t>1</w:t>
            </w:r>
          </w:p>
        </w:tc>
        <w:tc>
          <w:tcPr>
            <w:tcW w:w="4846" w:type="dxa"/>
            <w:tcBorders>
              <w:left w:val="nil"/>
              <w:right w:val="nil"/>
            </w:tcBorders>
            <w:shd w:val="clear" w:color="auto" w:fill="FFFFFF" w:themeFill="background1"/>
            <w:vAlign w:val="center"/>
          </w:tcPr>
          <w:p w14:paraId="00C1504E" w14:textId="77777777" w:rsidR="005C510B" w:rsidRPr="002E5315" w:rsidRDefault="005C510B" w:rsidP="000C39A7">
            <w:pPr>
              <w:jc w:val="left"/>
              <w:rPr>
                <w:sz w:val="20"/>
                <w:szCs w:val="20"/>
              </w:rPr>
            </w:pPr>
            <w:r w:rsidRPr="002E5315">
              <w:rPr>
                <w:sz w:val="20"/>
                <w:szCs w:val="20"/>
              </w:rPr>
              <w:t>DVD Stankovci</w:t>
            </w:r>
          </w:p>
        </w:tc>
        <w:tc>
          <w:tcPr>
            <w:tcW w:w="1073" w:type="dxa"/>
            <w:tcBorders>
              <w:left w:val="nil"/>
              <w:right w:val="nil"/>
            </w:tcBorders>
            <w:shd w:val="clear" w:color="auto" w:fill="FFFFFF" w:themeFill="background1"/>
            <w:vAlign w:val="center"/>
          </w:tcPr>
          <w:p w14:paraId="133280EE" w14:textId="77777777" w:rsidR="005C510B" w:rsidRPr="002E5315" w:rsidRDefault="005C510B" w:rsidP="00361CEF">
            <w:pPr>
              <w:jc w:val="center"/>
              <w:rPr>
                <w:sz w:val="20"/>
                <w:szCs w:val="20"/>
              </w:rPr>
            </w:pPr>
            <w:r w:rsidRPr="002E5315">
              <w:rPr>
                <w:sz w:val="20"/>
                <w:szCs w:val="20"/>
              </w:rPr>
              <w:t>16</w:t>
            </w:r>
          </w:p>
        </w:tc>
      </w:tr>
      <w:tr w:rsidR="005C510B" w:rsidRPr="002E5315" w14:paraId="4D2E2CF8" w14:textId="77777777" w:rsidTr="000C39A7">
        <w:trPr>
          <w:trHeight w:val="477"/>
        </w:trPr>
        <w:tc>
          <w:tcPr>
            <w:tcW w:w="2376" w:type="dxa"/>
            <w:tcBorders>
              <w:left w:val="nil"/>
              <w:right w:val="nil"/>
            </w:tcBorders>
            <w:shd w:val="clear" w:color="auto" w:fill="D9E2F3" w:themeFill="accent1" w:themeFillTint="33"/>
            <w:noWrap/>
            <w:vAlign w:val="center"/>
            <w:hideMark/>
          </w:tcPr>
          <w:p w14:paraId="05B6ACDD" w14:textId="77777777" w:rsidR="005C510B" w:rsidRPr="002E5315" w:rsidRDefault="005C510B" w:rsidP="00E41146">
            <w:pPr>
              <w:jc w:val="left"/>
              <w:rPr>
                <w:rFonts w:cs="Arial"/>
                <w:b/>
                <w:bCs/>
                <w:sz w:val="20"/>
                <w:szCs w:val="20"/>
              </w:rPr>
            </w:pPr>
            <w:r w:rsidRPr="002E5315">
              <w:rPr>
                <w:rFonts w:cs="Arial"/>
                <w:b/>
                <w:bCs/>
                <w:sz w:val="20"/>
                <w:szCs w:val="20"/>
              </w:rPr>
              <w:t>Ostale pravne osobe i tijela s javnim ovlastima</w:t>
            </w:r>
          </w:p>
        </w:tc>
        <w:tc>
          <w:tcPr>
            <w:tcW w:w="993" w:type="dxa"/>
            <w:tcBorders>
              <w:left w:val="nil"/>
              <w:right w:val="nil"/>
            </w:tcBorders>
            <w:shd w:val="clear" w:color="auto" w:fill="D9E2F3" w:themeFill="accent1" w:themeFillTint="33"/>
            <w:vAlign w:val="center"/>
          </w:tcPr>
          <w:p w14:paraId="4C1259CE" w14:textId="77777777" w:rsidR="005C510B" w:rsidRPr="002E5315" w:rsidRDefault="005C510B" w:rsidP="00361CEF">
            <w:pPr>
              <w:jc w:val="center"/>
              <w:rPr>
                <w:rFonts w:cs="Arial"/>
                <w:sz w:val="20"/>
                <w:szCs w:val="20"/>
              </w:rPr>
            </w:pPr>
            <w:r w:rsidRPr="002E5315">
              <w:rPr>
                <w:rFonts w:cs="Arial"/>
                <w:sz w:val="20"/>
                <w:szCs w:val="20"/>
              </w:rPr>
              <w:t>1</w:t>
            </w:r>
          </w:p>
        </w:tc>
        <w:tc>
          <w:tcPr>
            <w:tcW w:w="4846" w:type="dxa"/>
            <w:tcBorders>
              <w:left w:val="nil"/>
              <w:right w:val="nil"/>
            </w:tcBorders>
            <w:shd w:val="clear" w:color="auto" w:fill="D9E2F3" w:themeFill="accent1" w:themeFillTint="33"/>
            <w:vAlign w:val="center"/>
          </w:tcPr>
          <w:p w14:paraId="770C16B8" w14:textId="77777777" w:rsidR="005C510B" w:rsidRPr="002E5315" w:rsidRDefault="005C510B" w:rsidP="000C39A7">
            <w:pPr>
              <w:jc w:val="left"/>
              <w:rPr>
                <w:rFonts w:cs="Arial"/>
                <w:b/>
                <w:sz w:val="20"/>
                <w:szCs w:val="20"/>
              </w:rPr>
            </w:pPr>
            <w:r w:rsidRPr="002E5315">
              <w:rPr>
                <w:sz w:val="20"/>
                <w:szCs w:val="20"/>
              </w:rPr>
              <w:t>TZ Marija Bistrica</w:t>
            </w:r>
          </w:p>
        </w:tc>
        <w:tc>
          <w:tcPr>
            <w:tcW w:w="1073" w:type="dxa"/>
            <w:tcBorders>
              <w:left w:val="nil"/>
              <w:right w:val="nil"/>
            </w:tcBorders>
            <w:shd w:val="clear" w:color="auto" w:fill="D9E2F3" w:themeFill="accent1" w:themeFillTint="33"/>
            <w:vAlign w:val="center"/>
          </w:tcPr>
          <w:p w14:paraId="25D08FED" w14:textId="77777777" w:rsidR="005C510B" w:rsidRPr="002E5315" w:rsidRDefault="005C510B" w:rsidP="00361CEF">
            <w:pPr>
              <w:jc w:val="center"/>
              <w:rPr>
                <w:rFonts w:cs="Arial"/>
                <w:sz w:val="20"/>
                <w:szCs w:val="20"/>
              </w:rPr>
            </w:pPr>
            <w:r w:rsidRPr="002E5315">
              <w:rPr>
                <w:rFonts w:cs="Arial"/>
                <w:sz w:val="20"/>
                <w:szCs w:val="20"/>
              </w:rPr>
              <w:t>5</w:t>
            </w:r>
          </w:p>
        </w:tc>
      </w:tr>
      <w:tr w:rsidR="005C510B" w:rsidRPr="002E5315" w14:paraId="7658F9DC" w14:textId="77777777" w:rsidTr="000C39A7">
        <w:trPr>
          <w:trHeight w:val="477"/>
        </w:trPr>
        <w:tc>
          <w:tcPr>
            <w:tcW w:w="2376" w:type="dxa"/>
            <w:tcBorders>
              <w:left w:val="nil"/>
              <w:right w:val="nil"/>
            </w:tcBorders>
            <w:shd w:val="clear" w:color="auto" w:fill="FFFFFF" w:themeFill="background1"/>
            <w:noWrap/>
            <w:vAlign w:val="center"/>
          </w:tcPr>
          <w:p w14:paraId="7F8016EF" w14:textId="77777777" w:rsidR="005C510B" w:rsidRPr="002E5315" w:rsidRDefault="005C510B" w:rsidP="00E41146">
            <w:pPr>
              <w:jc w:val="left"/>
              <w:rPr>
                <w:rFonts w:cs="Arial"/>
                <w:b/>
                <w:bCs/>
                <w:sz w:val="20"/>
                <w:szCs w:val="20"/>
              </w:rPr>
            </w:pPr>
            <w:r w:rsidRPr="002E5315">
              <w:rPr>
                <w:rFonts w:cs="Arial"/>
                <w:b/>
                <w:bCs/>
                <w:sz w:val="20"/>
                <w:szCs w:val="20"/>
              </w:rPr>
              <w:t>Ukupno</w:t>
            </w:r>
          </w:p>
        </w:tc>
        <w:tc>
          <w:tcPr>
            <w:tcW w:w="993" w:type="dxa"/>
            <w:tcBorders>
              <w:left w:val="nil"/>
              <w:right w:val="nil"/>
            </w:tcBorders>
            <w:shd w:val="clear" w:color="auto" w:fill="FFFFFF" w:themeFill="background1"/>
            <w:vAlign w:val="center"/>
          </w:tcPr>
          <w:p w14:paraId="6FFCBDCA" w14:textId="77777777" w:rsidR="005C510B" w:rsidRPr="002E5315" w:rsidRDefault="005C510B" w:rsidP="00361CEF">
            <w:pPr>
              <w:jc w:val="center"/>
              <w:rPr>
                <w:rFonts w:cs="Arial"/>
                <w:b/>
                <w:sz w:val="20"/>
                <w:szCs w:val="20"/>
              </w:rPr>
            </w:pPr>
            <w:r w:rsidRPr="002E5315">
              <w:rPr>
                <w:rFonts w:cs="Arial"/>
                <w:b/>
                <w:sz w:val="20"/>
                <w:szCs w:val="20"/>
              </w:rPr>
              <w:t>20</w:t>
            </w:r>
          </w:p>
        </w:tc>
        <w:tc>
          <w:tcPr>
            <w:tcW w:w="4846" w:type="dxa"/>
            <w:tcBorders>
              <w:left w:val="nil"/>
              <w:right w:val="nil"/>
            </w:tcBorders>
            <w:shd w:val="clear" w:color="auto" w:fill="FFFFFF" w:themeFill="background1"/>
            <w:vAlign w:val="center"/>
          </w:tcPr>
          <w:p w14:paraId="4E09EF09" w14:textId="77777777" w:rsidR="005C510B" w:rsidRPr="002E5315" w:rsidRDefault="005C510B" w:rsidP="00361CEF">
            <w:pPr>
              <w:jc w:val="center"/>
              <w:rPr>
                <w:rFonts w:cs="Arial"/>
                <w:b/>
                <w:sz w:val="20"/>
                <w:szCs w:val="20"/>
              </w:rPr>
            </w:pPr>
          </w:p>
        </w:tc>
        <w:tc>
          <w:tcPr>
            <w:tcW w:w="1073" w:type="dxa"/>
            <w:tcBorders>
              <w:left w:val="nil"/>
              <w:right w:val="nil"/>
            </w:tcBorders>
            <w:shd w:val="clear" w:color="auto" w:fill="FFFFFF" w:themeFill="background1"/>
            <w:vAlign w:val="center"/>
          </w:tcPr>
          <w:p w14:paraId="6E240176" w14:textId="77777777" w:rsidR="005C510B" w:rsidRPr="002E5315" w:rsidRDefault="005C510B" w:rsidP="00361CEF">
            <w:pPr>
              <w:jc w:val="center"/>
              <w:rPr>
                <w:rFonts w:cs="Arial"/>
                <w:b/>
                <w:sz w:val="20"/>
                <w:szCs w:val="20"/>
              </w:rPr>
            </w:pPr>
            <w:r w:rsidRPr="002E5315">
              <w:rPr>
                <w:rFonts w:cs="Arial"/>
                <w:b/>
                <w:sz w:val="20"/>
                <w:szCs w:val="20"/>
              </w:rPr>
              <w:t>162</w:t>
            </w:r>
          </w:p>
        </w:tc>
      </w:tr>
    </w:tbl>
    <w:p w14:paraId="2E3FCDA7" w14:textId="34C6C8C7" w:rsidR="005C510B" w:rsidRPr="002E5315" w:rsidRDefault="005C510B" w:rsidP="00217E30">
      <w:pPr>
        <w:spacing w:before="240"/>
        <w:rPr>
          <w:szCs w:val="23"/>
          <w:lang w:eastAsia="en-US"/>
        </w:rPr>
      </w:pPr>
      <w:r w:rsidRPr="002E5315">
        <w:rPr>
          <w:szCs w:val="23"/>
          <w:lang w:eastAsia="en-US"/>
        </w:rPr>
        <w:t xml:space="preserve">Predmet neposrednog inspekcijskog nadzora je provedba ZPPI-ja u svim segmentima: imenovanje </w:t>
      </w:r>
      <w:r w:rsidR="006B2516" w:rsidRPr="002E5315">
        <w:rPr>
          <w:szCs w:val="23"/>
          <w:lang w:eastAsia="en-US"/>
        </w:rPr>
        <w:t>i postupanje službenika za informiranje, način rješavanja zahtjeva za pristup, ispravak/dopunu i ponovnu uporabu informacija, vođenje Službenog upisnika, naplata naknade za pristup informacijama i ponovnu uporabu informacija, ispunjenje obveze proaktivne objave informacija, izvješćivanje o primjeni Zakona te ponovna uporaba informacija. U većini je tijela javne vlasti nadzorom je obuhvaćena i pravilnost postupanja u predmetima koji su u postupcima rješavanja pred Povjerenikom. Kod tijela obveznika provedbe savjetovanja s javnošću predmet nadzora je bilo postupanje u tom dijelu, kao i dodatna analiza propisivanja poslovne tajne u odnosu na primjenu ZPPI-ja te javnosti rada kod relevantnih tijela</w:t>
      </w:r>
      <w:r w:rsidRPr="002E5315">
        <w:rPr>
          <w:szCs w:val="23"/>
          <w:lang w:eastAsia="en-US"/>
        </w:rPr>
        <w:t>.</w:t>
      </w:r>
    </w:p>
    <w:p w14:paraId="60C1468C" w14:textId="55292A51" w:rsidR="005C510B" w:rsidRPr="002E5315" w:rsidRDefault="005C510B" w:rsidP="00217E30">
      <w:pPr>
        <w:keepNext/>
        <w:spacing w:before="240"/>
        <w:rPr>
          <w:sz w:val="20"/>
          <w:szCs w:val="20"/>
          <w:lang w:eastAsia="en-US"/>
        </w:rPr>
      </w:pPr>
      <w:r w:rsidRPr="002E5315">
        <w:rPr>
          <w:sz w:val="20"/>
          <w:szCs w:val="20"/>
          <w:lang w:eastAsia="en-US"/>
        </w:rPr>
        <w:lastRenderedPageBreak/>
        <w:t xml:space="preserve">Slika 5.1. Broj neposrednih inspekcijskih nadzora i izrečenih mjera u 2019. po pravnom statusu tijela javne vlasti </w:t>
      </w:r>
    </w:p>
    <w:p w14:paraId="71BC629D" w14:textId="2C811A60" w:rsidR="005C510B" w:rsidRPr="002E5315" w:rsidRDefault="00713BB2" w:rsidP="005C510B">
      <w:pPr>
        <w:jc w:val="center"/>
        <w:rPr>
          <w:szCs w:val="23"/>
          <w:lang w:eastAsia="en-US"/>
        </w:rPr>
      </w:pPr>
      <w:r>
        <w:rPr>
          <w:noProof/>
        </w:rPr>
        <w:drawing>
          <wp:inline distT="0" distB="0" distL="0" distR="0" wp14:anchorId="6FDDB11C" wp14:editId="02796A6B">
            <wp:extent cx="5760720" cy="4333240"/>
            <wp:effectExtent l="0" t="0" r="0" b="0"/>
            <wp:docPr id="3" name="Grafikon 3">
              <a:extLst xmlns:a="http://schemas.openxmlformats.org/drawingml/2006/main">
                <a:ext uri="{FF2B5EF4-FFF2-40B4-BE49-F238E27FC236}">
                  <a16:creationId xmlns:a16="http://schemas.microsoft.com/office/drawing/2014/main" id="{94CE5053-05C8-45BB-A5B2-6CC89D7FC6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91001B7" w14:textId="2C1573A4" w:rsidR="0086677C" w:rsidRPr="002E5315" w:rsidRDefault="0086677C" w:rsidP="0086677C">
      <w:pPr>
        <w:rPr>
          <w:szCs w:val="23"/>
          <w:lang w:eastAsia="en-US"/>
        </w:rPr>
      </w:pPr>
      <w:r w:rsidRPr="002E5315">
        <w:rPr>
          <w:szCs w:val="23"/>
          <w:lang w:eastAsia="en-US"/>
        </w:rPr>
        <w:t>Zapisnikom o inspekcijskom nadzoru tijelima javne vlasti je naloženo izvršenje mjera u određenom roku i predloženo provođenje mjera u svrhu uklanjanja utvrđenih nepravilnosti i nedostataka u radu odnosno radi unapređenja rada nadziranih tijela. Izrečene su ukupno 162 mjere (Tablica 5.1.): najviše DVD-u Stankovci (16 mjera), Općini Milna (12 mjera) te Ministarstvu zdravstva i Općini Stankovci (11 mjera), dok je najmanje mjera izrečeno trgovačkom društvu Stano-uprava d.o.o. (4 mjere), Razvojnoj agenciji Split i Turističkoj zajednici Marija Bistrica (5 mjera) te Gradu Rijeci (6 mjera).</w:t>
      </w:r>
    </w:p>
    <w:p w14:paraId="561EA711" w14:textId="77777777" w:rsidR="0086677C" w:rsidRPr="002E5315" w:rsidRDefault="0086677C" w:rsidP="0086677C">
      <w:pPr>
        <w:tabs>
          <w:tab w:val="left" w:pos="-720"/>
        </w:tabs>
        <w:suppressAutoHyphens/>
        <w:rPr>
          <w:szCs w:val="23"/>
          <w:lang w:eastAsia="en-US"/>
        </w:rPr>
      </w:pPr>
      <w:r w:rsidRPr="002E5315">
        <w:rPr>
          <w:rFonts w:cs="Arial"/>
          <w:szCs w:val="23"/>
        </w:rPr>
        <w:t xml:space="preserve">Utvrđene nepravilnosti i nezakonitosti u primjeni ZPPI-ja i provedbenih propisa u provedenim neposrednim inspekcijskim nadzorima ukazuju da nadzirana tijela, osim utvrđenih poteškoća u primjeni reaktivnog dijela prava na pristup informacijama (nerješavanje u zakonskim rokovima te nepravilna primjena odredbi ZPPI-a pri rješavanju zahtjeva), velike poteškoće imaju i pri ispunjavaju ostalih obveza iz ZPPI-ja. Navedeno se odnosi prije svega na </w:t>
      </w:r>
      <w:r w:rsidRPr="002E5315">
        <w:rPr>
          <w:szCs w:val="23"/>
          <w:lang w:eastAsia="en-US"/>
        </w:rPr>
        <w:t>neispunjenje</w:t>
      </w:r>
      <w:r w:rsidRPr="002E5315">
        <w:rPr>
          <w:rFonts w:cs="Arial"/>
          <w:szCs w:val="23"/>
        </w:rPr>
        <w:t xml:space="preserve"> obveze proaktivne objave informacija </w:t>
      </w:r>
      <w:r w:rsidRPr="002E5315">
        <w:rPr>
          <w:szCs w:val="23"/>
          <w:lang w:eastAsia="en-US"/>
        </w:rPr>
        <w:t>navedenih u članku 10. stavku 1. ZPPI-ja. Tijela naročito propuštaju objaviti informacije koje se tiču obavijesti o ishodu natječajnog postupka, javnosti rada (objave zaključaka sa službenih sjednica, informacije o radu formalnih radnih tijela), o načinu i uvjetima ostvarivanja prava na pristup informacijama i ponovnu uporabu informacija te informacije u otvorenom, strojno čitljivom obliku.</w:t>
      </w:r>
    </w:p>
    <w:p w14:paraId="70FC0BFE" w14:textId="77777777" w:rsidR="0086677C" w:rsidRPr="002E5315" w:rsidRDefault="0086677C" w:rsidP="0086677C">
      <w:pPr>
        <w:shd w:val="clear" w:color="auto" w:fill="FFFFFF" w:themeFill="background1"/>
        <w:rPr>
          <w:rFonts w:cs="Arial"/>
          <w:szCs w:val="23"/>
        </w:rPr>
      </w:pPr>
      <w:r w:rsidRPr="002E5315">
        <w:rPr>
          <w:szCs w:val="23"/>
          <w:lang w:eastAsia="en-US"/>
        </w:rPr>
        <w:t xml:space="preserve">Nadalje, tijela koja su obveznici provedbe savjetovanja s javnošću vrlo često ne provode (ili provode nepotpuno) postupke savjetovanja s javnošću, a i u provedenim savjetovanjima nerijetko </w:t>
      </w:r>
      <w:r w:rsidRPr="002E5315">
        <w:rPr>
          <w:szCs w:val="23"/>
          <w:lang w:eastAsia="en-US"/>
        </w:rPr>
        <w:lastRenderedPageBreak/>
        <w:t>se uočavaju nepravilnosti koje se odnose trajanje savjetovanja kraće od 30 dana, neažurnost i nedonošenje plana savjetovanja te neobjavljivanje izvješća o provedenom savjetovanju.</w:t>
      </w:r>
    </w:p>
    <w:p w14:paraId="4898B608" w14:textId="77777777" w:rsidR="00633D93" w:rsidRDefault="0086677C" w:rsidP="0086677C">
      <w:pPr>
        <w:rPr>
          <w:szCs w:val="23"/>
          <w:lang w:eastAsia="en-US"/>
        </w:rPr>
      </w:pPr>
      <w:r w:rsidRPr="002E5315">
        <w:rPr>
          <w:szCs w:val="23"/>
          <w:lang w:eastAsia="en-US"/>
        </w:rPr>
        <w:t>Nezakonitosti vezane uz obvezu javnosti rada uključuju izostanak objave dnevnih redova zasjedanja ili sjednica službenih tijela i vremena njihova održavanja, informacija o načinu rada i mogućnostima neposrednog uvida te o broju osoba koje mogu ostvariti neposredan uvid u rad tijela</w:t>
      </w:r>
      <w:r w:rsidR="00633D93">
        <w:rPr>
          <w:szCs w:val="23"/>
          <w:lang w:eastAsia="en-US"/>
        </w:rPr>
        <w:t>.</w:t>
      </w:r>
    </w:p>
    <w:p w14:paraId="0DDC266B" w14:textId="002C8FE3" w:rsidR="0086677C" w:rsidRPr="002E5315" w:rsidRDefault="0086677C" w:rsidP="0086677C">
      <w:pPr>
        <w:rPr>
          <w:strike/>
          <w:szCs w:val="23"/>
          <w:lang w:eastAsia="en-US"/>
        </w:rPr>
      </w:pPr>
      <w:r w:rsidRPr="002E5315">
        <w:rPr>
          <w:szCs w:val="23"/>
          <w:lang w:eastAsia="en-US"/>
        </w:rPr>
        <w:t>Najčešće pogreške u rješavanju zahtjeva odnose se na nerazlikovanje zahtjeva za pristup informacijama od drugih traženja i obraćanja tijelu te rješavanje zahtjeva suprotno zakonskoj odredbi (obavijest umjesto rješenja kada se stranci uskraćuje informacija, neprovođenje testa razmjernosti i javnog interesa te nerješavanje u zakonskom roku). Također, utvrđene su vrlo česte pogreške vođenja Službenog upisnika.</w:t>
      </w:r>
    </w:p>
    <w:p w14:paraId="51BA92F6" w14:textId="737CA993" w:rsidR="0086677C" w:rsidRPr="002E5315" w:rsidRDefault="0086677C" w:rsidP="0086677C">
      <w:pPr>
        <w:rPr>
          <w:strike/>
          <w:szCs w:val="23"/>
          <w:lang w:eastAsia="en-US"/>
        </w:rPr>
      </w:pPr>
      <w:r w:rsidRPr="002E5315">
        <w:rPr>
          <w:rFonts w:cs="Arial"/>
          <w:szCs w:val="23"/>
        </w:rPr>
        <w:t>Stoga s</w:t>
      </w:r>
      <w:r w:rsidR="00C77769">
        <w:rPr>
          <w:rFonts w:cs="Arial"/>
          <w:szCs w:val="23"/>
        </w:rPr>
        <w:t>u</w:t>
      </w:r>
      <w:r w:rsidRPr="002E5315">
        <w:rPr>
          <w:rFonts w:cs="Arial"/>
          <w:szCs w:val="23"/>
        </w:rPr>
        <w:t xml:space="preserve"> nadziranim tijelima, osim izricanja mjera kojima se naređuje</w:t>
      </w:r>
      <w:r w:rsidRPr="002E5315">
        <w:rPr>
          <w:szCs w:val="23"/>
        </w:rPr>
        <w:t xml:space="preserve"> otklanjanje utvrđenih povreda ZPPI-ja i drugih propisa, </w:t>
      </w:r>
      <w:r w:rsidRPr="002E5315">
        <w:rPr>
          <w:rFonts w:cs="Arial"/>
          <w:szCs w:val="23"/>
        </w:rPr>
        <w:t xml:space="preserve">predložene i mjere usmjerene na </w:t>
      </w:r>
      <w:r w:rsidRPr="002E5315">
        <w:rPr>
          <w:szCs w:val="23"/>
        </w:rPr>
        <w:t xml:space="preserve">otklanjanje nepravilnosti i nedostataka u radu. Prije svega, predlaže im se provođenje </w:t>
      </w:r>
      <w:r w:rsidRPr="002E5315">
        <w:rPr>
          <w:rFonts w:cs="Arial"/>
          <w:szCs w:val="23"/>
        </w:rPr>
        <w:t xml:space="preserve">kontinuiranog usavršavanja službenika za informiranje i ostalih zaposlenika uključenih u primjenu prava na pristup informacijama putem besplatnih edukacija koje provodi Ured povjerenika samostalno ili putem webinara ili u suradnji s drugim institucijama u područjima prava na pristup informacijama, </w:t>
      </w:r>
      <w:r w:rsidRPr="002E5315">
        <w:rPr>
          <w:rFonts w:cs="Arial"/>
          <w:bCs/>
          <w:szCs w:val="23"/>
        </w:rPr>
        <w:t>ponovne uporabe informacija i otvorenih podataka, savjetovanja s javnošću, te</w:t>
      </w:r>
      <w:r w:rsidRPr="002E5315">
        <w:rPr>
          <w:rFonts w:cs="Arial"/>
          <w:szCs w:val="23"/>
        </w:rPr>
        <w:t xml:space="preserve"> uporabu uputa i smjernica Ureda povjerenika, kao i uporabu Tražilice odluka i mišljenja – TOM.</w:t>
      </w:r>
    </w:p>
    <w:p w14:paraId="6FF947F8" w14:textId="7DA4DB21" w:rsidR="005C510B" w:rsidRPr="002E5315" w:rsidRDefault="0086677C" w:rsidP="0086677C">
      <w:pPr>
        <w:rPr>
          <w:szCs w:val="23"/>
          <w:lang w:eastAsia="en-US"/>
        </w:rPr>
      </w:pPr>
      <w:r w:rsidRPr="002E5315">
        <w:rPr>
          <w:szCs w:val="23"/>
          <w:lang w:eastAsia="en-US"/>
        </w:rPr>
        <w:t>Protiv zapisnika o neposrednom inspekcijskom nadzoru nadzirana tijela nisu koristila mogućnost podnošenja prigovora</w:t>
      </w:r>
      <w:r w:rsidR="005C510B" w:rsidRPr="002E5315">
        <w:rPr>
          <w:szCs w:val="23"/>
          <w:lang w:eastAsia="en-US"/>
        </w:rPr>
        <w:t>.</w:t>
      </w:r>
    </w:p>
    <w:p w14:paraId="494AEEC7" w14:textId="4485BC51" w:rsidR="005C510B" w:rsidRPr="002E5315" w:rsidRDefault="005C510B" w:rsidP="005C510B">
      <w:pPr>
        <w:pStyle w:val="Naslov2"/>
        <w:rPr>
          <w:lang w:eastAsia="en-US"/>
        </w:rPr>
      </w:pPr>
      <w:bookmarkStart w:id="52" w:name="_Toc36308954"/>
      <w:r w:rsidRPr="002E5315">
        <w:rPr>
          <w:lang w:eastAsia="en-US"/>
        </w:rPr>
        <w:t>Posredni inspekcijski nadzor</w:t>
      </w:r>
      <w:bookmarkEnd w:id="52"/>
      <w:r w:rsidRPr="002E5315">
        <w:rPr>
          <w:lang w:eastAsia="en-US"/>
        </w:rPr>
        <w:t xml:space="preserve"> </w:t>
      </w:r>
    </w:p>
    <w:p w14:paraId="6E0DE6F9" w14:textId="0F48F1B2" w:rsidR="004435C0" w:rsidRPr="002E5315" w:rsidRDefault="004435C0" w:rsidP="004435C0">
      <w:pPr>
        <w:rPr>
          <w:szCs w:val="23"/>
          <w:lang w:eastAsia="en-US"/>
        </w:rPr>
      </w:pPr>
      <w:r w:rsidRPr="002E5315">
        <w:rPr>
          <w:b/>
          <w:bCs/>
          <w:szCs w:val="23"/>
          <w:lang w:eastAsia="en-US"/>
        </w:rPr>
        <w:t>U 2019. provedeno je ukupno</w:t>
      </w:r>
      <w:r w:rsidRPr="002E5315">
        <w:rPr>
          <w:szCs w:val="23"/>
          <w:lang w:eastAsia="en-US"/>
        </w:rPr>
        <w:t xml:space="preserve"> </w:t>
      </w:r>
      <w:r w:rsidRPr="002E5315">
        <w:rPr>
          <w:b/>
          <w:bCs/>
          <w:szCs w:val="23"/>
          <w:lang w:eastAsia="en-US"/>
        </w:rPr>
        <w:t>27 posrednih inspekcijskih nadzora</w:t>
      </w:r>
      <w:r w:rsidRPr="002E5315">
        <w:rPr>
          <w:szCs w:val="23"/>
          <w:lang w:eastAsia="en-US"/>
        </w:rPr>
        <w:t xml:space="preserve">. 13 posrednih inspekcijskih nadzora obavljeno je po službenoj dužnosti: 1 u </w:t>
      </w:r>
      <w:r w:rsidRPr="002E5315">
        <w:rPr>
          <w:szCs w:val="23"/>
        </w:rPr>
        <w:t xml:space="preserve">Ustanovi za upravljanje sportskim objektima Sportski objekti Samobor, zbog neodređivanja službenika za informiranje </w:t>
      </w:r>
      <w:r w:rsidRPr="002E5315">
        <w:rPr>
          <w:szCs w:val="23"/>
          <w:lang w:eastAsia="en-US"/>
        </w:rPr>
        <w:t>i po prvi puta u 12 JLP(R)S: Gradu Vrgorcu, Općini Bukovlje, Općini Čeminac, Općini Karlobag, Općini Milna, Općini Orebić, Općini Povljana, Općini Rovišće, Općini Severin, Općini Ston, Općini Zrinski Topolovac i Vinodolskoj općini, zbog nedostavljanja godišnjeg izvješća o provedbi ZPPI-ja za 2018.</w:t>
      </w:r>
      <w:r w:rsidR="00954DB8" w:rsidRPr="002E5315">
        <w:rPr>
          <w:szCs w:val="23"/>
          <w:lang w:eastAsia="en-US"/>
        </w:rPr>
        <w:t xml:space="preserve"> </w:t>
      </w:r>
      <w:r w:rsidRPr="002E5315">
        <w:rPr>
          <w:szCs w:val="23"/>
          <w:lang w:eastAsia="en-US"/>
        </w:rPr>
        <w:t>Povjereniku</w:t>
      </w:r>
      <w:r w:rsidR="008514A7" w:rsidRPr="002E5315">
        <w:rPr>
          <w:szCs w:val="23"/>
          <w:lang w:eastAsia="en-US"/>
        </w:rPr>
        <w:t>.</w:t>
      </w:r>
    </w:p>
    <w:p w14:paraId="2662DF8F" w14:textId="5D047E6E" w:rsidR="004435C0" w:rsidRPr="002E5315" w:rsidRDefault="004435C0" w:rsidP="004435C0">
      <w:pPr>
        <w:rPr>
          <w:szCs w:val="23"/>
          <w:lang w:eastAsia="en-US"/>
        </w:rPr>
      </w:pPr>
      <w:r w:rsidRPr="002E5315">
        <w:rPr>
          <w:szCs w:val="23"/>
          <w:lang w:eastAsia="en-US"/>
        </w:rPr>
        <w:t xml:space="preserve">Od 12 JLP(R)S, 7 je postupilo po mjeri izrečenoj u Zapisniku te je </w:t>
      </w:r>
      <w:r w:rsidRPr="002E5315">
        <w:rPr>
          <w:rFonts w:cs="Arial"/>
          <w:spacing w:val="-3"/>
          <w:szCs w:val="23"/>
        </w:rPr>
        <w:t>dostavilo izvješće o provedbi ZPPI-ja</w:t>
      </w:r>
      <w:r w:rsidR="00954DB8" w:rsidRPr="002E5315">
        <w:rPr>
          <w:rFonts w:cs="Arial"/>
          <w:spacing w:val="-3"/>
          <w:szCs w:val="23"/>
        </w:rPr>
        <w:t xml:space="preserve"> </w:t>
      </w:r>
      <w:r w:rsidRPr="002E5315">
        <w:rPr>
          <w:rFonts w:cs="Arial"/>
          <w:spacing w:val="-3"/>
          <w:szCs w:val="23"/>
        </w:rPr>
        <w:t xml:space="preserve">za 2018. u naknadno ostavljenom roku, </w:t>
      </w:r>
      <w:r w:rsidRPr="002E5315">
        <w:rPr>
          <w:szCs w:val="23"/>
          <w:lang w:eastAsia="en-US"/>
        </w:rPr>
        <w:t>a 5 nije ispunilo izrečenu mjeru dostave godišnjeg izvješća (općina Čeminac, Karlobag, Milna, Povljana i Rovišće) te je Povjerenik protiv čelnika navedenih tijela javne vlasti kao odgovornih osoba izdao prekršajne naloge. Općina Čeminac i Općina Karlobag podnijeli su prigovore protiv izdanih prekršajnih naloga, te je u tijeku prekršajni postupak. Pri izradi Godišnjeg izvješća za 2019., utvrđeno je da od 12 naprijed navedenih JLP(R)S, samo Općina Karlobag ponovno nije ispunila svoju zakonsku obvezu dostave izvješća, što ukazuje da je dodatno traženje Povjerenika te pokretanje inspekcijskog nadzora i izricanje prekršajnih naloga</w:t>
      </w:r>
      <w:r w:rsidR="00954DB8" w:rsidRPr="002E5315">
        <w:rPr>
          <w:szCs w:val="23"/>
          <w:lang w:eastAsia="en-US"/>
        </w:rPr>
        <w:t xml:space="preserve"> </w:t>
      </w:r>
      <w:r w:rsidRPr="002E5315">
        <w:rPr>
          <w:szCs w:val="23"/>
          <w:lang w:eastAsia="en-US"/>
        </w:rPr>
        <w:t>imalo učinak na tijela u izvršavanju njihovih zakonskih obveza.</w:t>
      </w:r>
    </w:p>
    <w:p w14:paraId="0B6AF74E" w14:textId="77777777" w:rsidR="00633D93" w:rsidRDefault="004435C0" w:rsidP="004435C0">
      <w:pPr>
        <w:tabs>
          <w:tab w:val="left" w:pos="-720"/>
        </w:tabs>
        <w:suppressAutoHyphens/>
        <w:rPr>
          <w:szCs w:val="23"/>
          <w:lang w:eastAsia="en-US"/>
        </w:rPr>
      </w:pPr>
      <w:r w:rsidRPr="002E5315">
        <w:rPr>
          <w:bCs/>
          <w:szCs w:val="23"/>
          <w:lang w:eastAsia="en-US"/>
        </w:rPr>
        <w:lastRenderedPageBreak/>
        <w:t>Nadalje,</w:t>
      </w:r>
      <w:r w:rsidRPr="002E5315">
        <w:rPr>
          <w:b/>
          <w:bCs/>
          <w:szCs w:val="23"/>
          <w:lang w:eastAsia="en-US"/>
        </w:rPr>
        <w:t xml:space="preserve"> </w:t>
      </w:r>
      <w:r w:rsidRPr="002E5315">
        <w:rPr>
          <w:szCs w:val="23"/>
          <w:lang w:eastAsia="en-US"/>
        </w:rPr>
        <w:t>14 posrednih inspekcijskih nadzora inicirano je podnesenim predstavkama, a provedeni su: 1 u Ministarstvu znanosti i obrazovanja i 6 u jedinicama lokalne samouprave (Gradu Opuzenu, Gradu Mali Lošinj, dva puta u Gradu Splitu, Općini Seget i Općini Baška Voda) - sve zbog nerješavanja zahtjeva i nepostupanja po upućenim aktima upozorenja</w:t>
      </w:r>
      <w:r w:rsidRPr="002E5315">
        <w:rPr>
          <w:b/>
          <w:bCs/>
          <w:szCs w:val="23"/>
          <w:lang w:eastAsia="en-US"/>
        </w:rPr>
        <w:t>,</w:t>
      </w:r>
      <w:r w:rsidRPr="002E5315">
        <w:rPr>
          <w:szCs w:val="23"/>
          <w:lang w:eastAsia="en-US"/>
        </w:rPr>
        <w:t xml:space="preserve"> 3 u strukovnim komorama (Hrvatskoj komori inženjera strojarstva, Hrvatskoj komori medicinskih biokemičara - zbog neispunjavanja proaktivne objave informacija i Hrvatskoj komori fizioterapeuta - zbog nerješavanja zahtjeva), 2 u trgovačkim društvima (Unikom d.o.o. za komunalno gospodarstvo - zbog povreda načela jednakosti iz članka 8. ZPPI </w:t>
      </w:r>
      <w:r w:rsidRPr="002E5315">
        <w:rPr>
          <w:rFonts w:cs="Arial"/>
          <w:spacing w:val="-3"/>
          <w:szCs w:val="23"/>
        </w:rPr>
        <w:t xml:space="preserve">pri zaprimanju i rješavanju zahtjeva za pristup informacijama </w:t>
      </w:r>
      <w:r w:rsidRPr="002E5315">
        <w:rPr>
          <w:szCs w:val="23"/>
          <w:lang w:eastAsia="en-US"/>
        </w:rPr>
        <w:t>i Zagrebački električni tramvaj d.o.o. za trgovinu, usluge i javni prijevoz - zbog nerješavanja zahtjeva), 1 u ustanovi (</w:t>
      </w:r>
      <w:r w:rsidRPr="002E5315">
        <w:rPr>
          <w:szCs w:val="23"/>
        </w:rPr>
        <w:t>Javna profesionalna vatrogasna postrojba Grada Osijek</w:t>
      </w:r>
      <w:r w:rsidRPr="002E5315">
        <w:rPr>
          <w:szCs w:val="23"/>
          <w:lang w:eastAsia="en-US"/>
        </w:rPr>
        <w:t xml:space="preserve">a - zbog nerješavanja zahtjeva) i 1 u udruzi (DVD Janjina - zbog </w:t>
      </w:r>
      <w:r w:rsidRPr="002E5315">
        <w:rPr>
          <w:szCs w:val="23"/>
        </w:rPr>
        <w:t>neodređivanja službenika za informiranje i neispunjavanja proaktivne objave informacija</w:t>
      </w:r>
      <w:r w:rsidRPr="002E5315">
        <w:rPr>
          <w:szCs w:val="23"/>
          <w:lang w:eastAsia="en-US"/>
        </w:rPr>
        <w:t>)</w:t>
      </w:r>
      <w:r w:rsidR="00633D93">
        <w:rPr>
          <w:szCs w:val="23"/>
          <w:lang w:eastAsia="en-US"/>
        </w:rPr>
        <w:t>.</w:t>
      </w:r>
    </w:p>
    <w:p w14:paraId="4A2AC212" w14:textId="77777777" w:rsidR="00633D93" w:rsidRDefault="004435C0" w:rsidP="004435C0">
      <w:pPr>
        <w:tabs>
          <w:tab w:val="left" w:pos="-720"/>
        </w:tabs>
        <w:suppressAutoHyphens/>
        <w:rPr>
          <w:rFonts w:cs="Arial"/>
          <w:spacing w:val="-3"/>
          <w:szCs w:val="23"/>
        </w:rPr>
      </w:pPr>
      <w:r w:rsidRPr="002E5315">
        <w:rPr>
          <w:szCs w:val="23"/>
          <w:lang w:eastAsia="en-US"/>
        </w:rPr>
        <w:t>Broj provedenih posrednih inspekcijskih nadzora predstavlja značajan iskorak u odnosu</w:t>
      </w:r>
      <w:r w:rsidR="00954DB8" w:rsidRPr="002E5315">
        <w:rPr>
          <w:szCs w:val="23"/>
          <w:lang w:eastAsia="en-US"/>
        </w:rPr>
        <w:t xml:space="preserve"> </w:t>
      </w:r>
      <w:r w:rsidRPr="002E5315">
        <w:rPr>
          <w:szCs w:val="23"/>
          <w:lang w:eastAsia="en-US"/>
        </w:rPr>
        <w:t>na 2018. kada nije bilo provedenih posrednih inspekcijski nadzora, i na broj provedenih posrednih inspekcijskih nadzora u 2017., kada su provedena 2 posredna inspekcijska nadzora. Povećani broj provedenih posrednih inspekcijskih nadzora u 2019. omogućen je davanjem ovlasti službenicima koji postupaju po predstavkama i za provođenje predmetnih nadzora, u slučaju nepostupanja po upućenim aktima upozorenja</w:t>
      </w:r>
      <w:r w:rsidR="00633D93">
        <w:rPr>
          <w:rFonts w:cs="Arial"/>
          <w:spacing w:val="-3"/>
          <w:szCs w:val="23"/>
        </w:rPr>
        <w:t>.</w:t>
      </w:r>
    </w:p>
    <w:p w14:paraId="4975277D" w14:textId="77777777" w:rsidR="00633D93" w:rsidRDefault="004435C0" w:rsidP="004435C0">
      <w:pPr>
        <w:tabs>
          <w:tab w:val="left" w:pos="-720"/>
        </w:tabs>
        <w:suppressAutoHyphens/>
        <w:rPr>
          <w:rFonts w:cs="Arial"/>
          <w:spacing w:val="-3"/>
          <w:szCs w:val="23"/>
        </w:rPr>
      </w:pPr>
      <w:r w:rsidRPr="002E5315">
        <w:rPr>
          <w:rFonts w:cs="Arial"/>
          <w:spacing w:val="-3"/>
          <w:szCs w:val="23"/>
        </w:rPr>
        <w:t>Nadziranim tijelima javne vlasti zapisnicima su naređene mjere za ispravak utvrđenih nezakonitosti te su im predložene mjere radi</w:t>
      </w:r>
      <w:r w:rsidRPr="002E5315">
        <w:rPr>
          <w:rFonts w:cs="Arial"/>
          <w:szCs w:val="23"/>
        </w:rPr>
        <w:t xml:space="preserve"> </w:t>
      </w:r>
      <w:r w:rsidRPr="002E5315">
        <w:rPr>
          <w:szCs w:val="23"/>
        </w:rPr>
        <w:t>otklanjanja nepravilnosti i nedostataka u radu.</w:t>
      </w:r>
      <w:r w:rsidRPr="002E5315">
        <w:rPr>
          <w:rFonts w:cs="Arial"/>
          <w:spacing w:val="-3"/>
          <w:szCs w:val="23"/>
        </w:rPr>
        <w:t xml:space="preserve"> Pri tome je utvrđeno, kao i kod provođenja neposrednih inspekcijskih nadzora, da najveći broj nadziranih tijela ne rješava zahtjeve za pristup informacijama u zakonskom roku odnosno da proaktivno ne objavljuje sve ZPPI-jem propisane informacije na mrežnim stranicama</w:t>
      </w:r>
      <w:r w:rsidR="00633D93">
        <w:rPr>
          <w:rFonts w:cs="Arial"/>
          <w:spacing w:val="-3"/>
          <w:szCs w:val="23"/>
        </w:rPr>
        <w:t>.</w:t>
      </w:r>
    </w:p>
    <w:p w14:paraId="4E74FC54" w14:textId="65640733" w:rsidR="005C510B" w:rsidRPr="002E5315" w:rsidRDefault="004435C0" w:rsidP="004435C0">
      <w:pPr>
        <w:tabs>
          <w:tab w:val="left" w:pos="-720"/>
        </w:tabs>
        <w:suppressAutoHyphens/>
        <w:rPr>
          <w:szCs w:val="23"/>
          <w:lang w:eastAsia="en-US"/>
        </w:rPr>
      </w:pPr>
      <w:r w:rsidRPr="002E5315">
        <w:rPr>
          <w:rFonts w:cs="Arial"/>
          <w:szCs w:val="23"/>
        </w:rPr>
        <w:t>Hrvatska komora medicinskih biokemičara</w:t>
      </w:r>
      <w:r w:rsidRPr="002E5315">
        <w:rPr>
          <w:rFonts w:cs="Arial"/>
          <w:spacing w:val="-3"/>
          <w:szCs w:val="23"/>
        </w:rPr>
        <w:t xml:space="preserve"> iskoristila je mogućnost daljnje pravne zaštite putem prigovora na zapisnik, koji je pr</w:t>
      </w:r>
      <w:r w:rsidRPr="002E5315">
        <w:rPr>
          <w:rFonts w:cs="Arial"/>
          <w:szCs w:val="23"/>
        </w:rPr>
        <w:t>ihvaćen u dijelu te je produžen rok za izvršenje izrečenih mjera u vezi proaktivne objave informacija i savjetovanja s javnošću, a u preostalom dijelu prigovor je odbijen</w:t>
      </w:r>
      <w:r w:rsidR="005C510B" w:rsidRPr="002E5315">
        <w:rPr>
          <w:rFonts w:cs="Arial"/>
          <w:szCs w:val="23"/>
        </w:rPr>
        <w:t>.</w:t>
      </w:r>
    </w:p>
    <w:p w14:paraId="5A03060B" w14:textId="30F49A2D" w:rsidR="00361CEF" w:rsidRPr="002E5315" w:rsidRDefault="00361CEF" w:rsidP="00361CEF">
      <w:pPr>
        <w:pStyle w:val="Naslov1"/>
      </w:pPr>
      <w:bookmarkStart w:id="53" w:name="_Toc36308955"/>
      <w:r w:rsidRPr="002E5315">
        <w:t>Sankcije</w:t>
      </w:r>
      <w:bookmarkEnd w:id="53"/>
    </w:p>
    <w:p w14:paraId="685795B9" w14:textId="77777777" w:rsidR="00633D93" w:rsidRDefault="004435C0" w:rsidP="004435C0">
      <w:pPr>
        <w:rPr>
          <w:szCs w:val="23"/>
        </w:rPr>
      </w:pPr>
      <w:r w:rsidRPr="002E5315">
        <w:rPr>
          <w:szCs w:val="23"/>
        </w:rPr>
        <w:t>Povjerenik ima ovlast za podnošenje optužnog prijedloga i izdavanje prekršajnog naloga za prekršaje iz članka 61. i 62. ZPPI-ja</w:t>
      </w:r>
      <w:r w:rsidR="00633D93">
        <w:rPr>
          <w:szCs w:val="23"/>
        </w:rPr>
        <w:t>.</w:t>
      </w:r>
    </w:p>
    <w:p w14:paraId="42F7F8C7" w14:textId="77777777" w:rsidR="00633D93" w:rsidRDefault="004435C0" w:rsidP="004435C0">
      <w:pPr>
        <w:rPr>
          <w:szCs w:val="23"/>
        </w:rPr>
      </w:pPr>
      <w:r w:rsidRPr="002E5315">
        <w:rPr>
          <w:szCs w:val="23"/>
        </w:rPr>
        <w:t>Prema članku 109.a Prekršajnog zakona, prije podnošenja optužnog prijedloga nadležnom prekršajnom sudu, Povjerenik, kao i drugi ovlašteni podnositelji optužnog prijedloga, dužan je utvrditi točnu adresu počinitelja, tj. odgovornu osobu čijem je činjenjem ili nečinjenjem došlo do povrede ZPPI-ja i uručiti mu pisanu obavijest u kojoj će ga upoznati s činjenicom da namjerava protiv njega podnijeti optužni prijedlog, s činjeničnim i pravnim opisom prekršaja, njegovim pravima, dokazima protiv njega i sl</w:t>
      </w:r>
      <w:r w:rsidR="00633D93">
        <w:rPr>
          <w:szCs w:val="23"/>
        </w:rPr>
        <w:t>.</w:t>
      </w:r>
    </w:p>
    <w:p w14:paraId="7C492784" w14:textId="77777777" w:rsidR="00633D93" w:rsidRDefault="004435C0" w:rsidP="004435C0">
      <w:pPr>
        <w:rPr>
          <w:szCs w:val="23"/>
        </w:rPr>
      </w:pPr>
      <w:r w:rsidRPr="002E5315">
        <w:rPr>
          <w:szCs w:val="23"/>
        </w:rPr>
        <w:t xml:space="preserve">Člankom 20. Zakona o izmjenama i dopunama Prekršajnog zakona (NN 118/18), koji je stupio na snagu 1. siječnja 2019., došlo je do određene promjene u članku 160. koja se odnosi na </w:t>
      </w:r>
      <w:r w:rsidRPr="002E5315">
        <w:rPr>
          <w:szCs w:val="23"/>
        </w:rPr>
        <w:lastRenderedPageBreak/>
        <w:t>podnošenje optužnog prijedloga i to u dijelu koji se odnosi na</w:t>
      </w:r>
      <w:r w:rsidR="00954DB8" w:rsidRPr="002E5315">
        <w:rPr>
          <w:szCs w:val="23"/>
        </w:rPr>
        <w:t xml:space="preserve"> </w:t>
      </w:r>
      <w:r w:rsidRPr="002E5315">
        <w:rPr>
          <w:szCs w:val="23"/>
        </w:rPr>
        <w:t>pisanu obavijest počinitelja iz članka 109.a Prekršajnog zakona. Prema izmjenama Prekršajnog zakona prilikom podnošenja optužnog prijedloga ovlašteni tužitelj treba dostaviti obavijest iz članka 109.a potpisanu od strane počinitelja ili kopiju te obavijesti uz dokaz o dostavi ili potvrdu o obavljenoj dostavi kad je ta obavijest dostavljena sukladno članku 145. ili 148. ovoga Zakona</w:t>
      </w:r>
      <w:r w:rsidR="00633D93">
        <w:rPr>
          <w:szCs w:val="23"/>
        </w:rPr>
        <w:t>.</w:t>
      </w:r>
    </w:p>
    <w:p w14:paraId="048CCFC8" w14:textId="77777777" w:rsidR="00633D93" w:rsidRDefault="004435C0" w:rsidP="004435C0">
      <w:pPr>
        <w:rPr>
          <w:szCs w:val="23"/>
        </w:rPr>
      </w:pPr>
      <w:r w:rsidRPr="002E5315">
        <w:rPr>
          <w:szCs w:val="23"/>
        </w:rPr>
        <w:t>Stoga u slučaju kada se za odgovornu osobu šalje obavijesti iz članka 109.a Prekršajnog zakona</w:t>
      </w:r>
      <w:r w:rsidR="00954DB8" w:rsidRPr="002E5315">
        <w:rPr>
          <w:szCs w:val="23"/>
        </w:rPr>
        <w:t xml:space="preserve"> </w:t>
      </w:r>
      <w:r w:rsidRPr="002E5315">
        <w:rPr>
          <w:szCs w:val="23"/>
        </w:rPr>
        <w:t>nije nužan vlastoručan potpis, ukoliko je izvršena uredna dostava kako je propisana Prekršajnim zakonom. Potrebno je naglasiti da je Povjerenik u prethodnim godinama, kada nije bila propisana ta odredba, postupao na taj način, ali je uvažavanje te činjenice ovisilo o pojedinim prekršajnim sudovima</w:t>
      </w:r>
      <w:r w:rsidR="00633D93">
        <w:rPr>
          <w:szCs w:val="23"/>
        </w:rPr>
        <w:t>.</w:t>
      </w:r>
    </w:p>
    <w:p w14:paraId="217E506C" w14:textId="1D7DF781" w:rsidR="00361CEF" w:rsidRPr="002E5315" w:rsidRDefault="004435C0" w:rsidP="004435C0">
      <w:pPr>
        <w:rPr>
          <w:szCs w:val="23"/>
        </w:rPr>
      </w:pPr>
      <w:r w:rsidRPr="002E5315">
        <w:rPr>
          <w:szCs w:val="23"/>
        </w:rPr>
        <w:t>Navedena izmjena Prekršajnog zakona predstavlja bitno poboljšanje u primjeni ZPPI-ja kada se uzmu u obzir podaci iz prethodnih godina u kojima su nadležni prekršajni sudovi odbacivali optužne prijedloge Povjerenika ako nisu bili vlastoručno potpisani, iako je Povjerenik obavio uredno dostavu</w:t>
      </w:r>
      <w:r w:rsidR="00361CEF" w:rsidRPr="002E5315">
        <w:rPr>
          <w:szCs w:val="23"/>
        </w:rPr>
        <w:t>.</w:t>
      </w:r>
    </w:p>
    <w:p w14:paraId="05E00359" w14:textId="52A895D8" w:rsidR="00361CEF" w:rsidRPr="002E5315" w:rsidRDefault="00361CEF" w:rsidP="00361CEF">
      <w:pPr>
        <w:pStyle w:val="Naslov2"/>
      </w:pPr>
      <w:bookmarkStart w:id="54" w:name="_Toc36308956"/>
      <w:r w:rsidRPr="002E5315">
        <w:t>Poslane obavijesti</w:t>
      </w:r>
      <w:bookmarkEnd w:id="54"/>
    </w:p>
    <w:p w14:paraId="4722D108" w14:textId="77777777" w:rsidR="00633D93" w:rsidRDefault="00DC1B40" w:rsidP="00DC1B40">
      <w:pPr>
        <w:rPr>
          <w:szCs w:val="23"/>
        </w:rPr>
      </w:pPr>
      <w:r w:rsidRPr="002E5315">
        <w:rPr>
          <w:szCs w:val="23"/>
        </w:rPr>
        <w:t>Povjerenik je u slučaju utvrđivanja počinjenih prekršaja kao prvi korak slao odgovornoj osobi u tijelu javne vlasti obavijest po članku 109.a Prekršajnog zakona, nakon što je od Ministarstva unutarnjih poslova zatražen podatak o prebivalištu odgovorne osobe za počinjenje prekršaja. Tijekom 2019. upućeno je 10 obavijesti o namjeravanom pokretanju prekršajnog postupka u odnosu na jedno tijelo javne vlasti, i to Gradonačelniku Grada Zagreba u 10 predmeta, kao odgovornoj osobi, a isti je vlastoručno potpisao te obavijesti i dostavio ih Povjereniku kako bi se mogle priložiti uz optužni prijedlog</w:t>
      </w:r>
      <w:r w:rsidR="00633D93">
        <w:rPr>
          <w:szCs w:val="23"/>
        </w:rPr>
        <w:t>.</w:t>
      </w:r>
    </w:p>
    <w:p w14:paraId="080E5313" w14:textId="290BDCD0" w:rsidR="00361CEF" w:rsidRPr="002E5315" w:rsidRDefault="00DC1B40" w:rsidP="00DC1B40">
      <w:pPr>
        <w:rPr>
          <w:szCs w:val="23"/>
        </w:rPr>
      </w:pPr>
      <w:r w:rsidRPr="002E5315">
        <w:rPr>
          <w:szCs w:val="23"/>
        </w:rPr>
        <w:t>Navedeni podaci ukazuju na činjenicu da Grad Zagreb kao tijelo javne vlasti, u dijelu predmeta ne postupa po nalozima Povjerenika te je Povjerenik zbog stajališta Visokog upravnog suda RH da</w:t>
      </w:r>
      <w:r w:rsidRPr="002E5315">
        <w:rPr>
          <w:color w:val="C00000"/>
          <w:szCs w:val="23"/>
        </w:rPr>
        <w:t xml:space="preserve"> </w:t>
      </w:r>
      <w:r w:rsidRPr="002E5315">
        <w:rPr>
          <w:szCs w:val="23"/>
        </w:rPr>
        <w:t>rješenja o nalaganju rješavanja zahtjeva nisu pogodna za postupak izvršenja, već da je u slučaju nepostupanja moguće pokrenuti prekršajni postupak, na taj način i postupio</w:t>
      </w:r>
      <w:r w:rsidR="00361CEF" w:rsidRPr="002E5315">
        <w:rPr>
          <w:szCs w:val="23"/>
        </w:rPr>
        <w:t>.</w:t>
      </w:r>
    </w:p>
    <w:p w14:paraId="2895BE9E" w14:textId="103A834F" w:rsidR="00361CEF" w:rsidRPr="002E5315" w:rsidRDefault="00361CEF" w:rsidP="00361CEF">
      <w:pPr>
        <w:pStyle w:val="Naslov2"/>
      </w:pPr>
      <w:bookmarkStart w:id="55" w:name="_Toc36308957"/>
      <w:r w:rsidRPr="002E5315">
        <w:t>Izdani prekršajni nalozi i podneseni optužni prijedlozi</w:t>
      </w:r>
      <w:bookmarkEnd w:id="55"/>
    </w:p>
    <w:p w14:paraId="7D267D30" w14:textId="2C28A8D2" w:rsidR="00DC1B40" w:rsidRPr="002E5315" w:rsidRDefault="00DC1B40" w:rsidP="00DC1B40">
      <w:pPr>
        <w:rPr>
          <w:szCs w:val="23"/>
        </w:rPr>
      </w:pPr>
      <w:r w:rsidRPr="002E5315">
        <w:rPr>
          <w:szCs w:val="23"/>
        </w:rPr>
        <w:t>U 2019. izrečeno je 17 prekršajnih naloga protiv odgovornih osoba u tijelima javne vlasti (načelnicima Općina Muć, Milna, Karlobag, Čeminac, Povljana i Rovišće), zbog nepostupanja po nalogu Povjerenika, što predstavlja značajno povećanje u odnosu na prethodne godine jer</w:t>
      </w:r>
      <w:r w:rsidR="00954DB8" w:rsidRPr="002E5315">
        <w:rPr>
          <w:szCs w:val="23"/>
        </w:rPr>
        <w:t xml:space="preserve"> </w:t>
      </w:r>
      <w:r w:rsidRPr="002E5315">
        <w:rPr>
          <w:szCs w:val="23"/>
        </w:rPr>
        <w:t>tijekom 2018. Povjerenik nije izrekao niti jedan prekršajni nalog, a tijekom 2017. je izrekao 2 prekršajna naloga.</w:t>
      </w:r>
    </w:p>
    <w:p w14:paraId="048370FB" w14:textId="77777777" w:rsidR="00633D93" w:rsidRDefault="00DC1B40" w:rsidP="00DC1B40">
      <w:pPr>
        <w:rPr>
          <w:szCs w:val="23"/>
        </w:rPr>
      </w:pPr>
      <w:r w:rsidRPr="002E5315">
        <w:rPr>
          <w:szCs w:val="23"/>
        </w:rPr>
        <w:t>U 2019. podnesen je 1 optužni prijedlog protiv odgovorne osobe u jednom tijelu javne vlasti, i to protiv općinskog načelnika Općine Sveti Filip i Jakov u vrijeme počinjenja prekršaja</w:t>
      </w:r>
      <w:r w:rsidR="00633D93">
        <w:rPr>
          <w:szCs w:val="23"/>
        </w:rPr>
        <w:t>.</w:t>
      </w:r>
    </w:p>
    <w:p w14:paraId="1BF06562" w14:textId="77777777" w:rsidR="00633D93" w:rsidRDefault="00DC1B40" w:rsidP="00DC1B40">
      <w:pPr>
        <w:rPr>
          <w:szCs w:val="23"/>
        </w:rPr>
      </w:pPr>
      <w:r w:rsidRPr="002E5315">
        <w:rPr>
          <w:szCs w:val="23"/>
        </w:rPr>
        <w:t xml:space="preserve">Optužni prijedlog podnesen je protiv čelnika tijela kao odgovorne osobe polazeći od pretpostavke da je čelnik odgovoran za provedbu zakona i propisa u cjelini, osim ako u </w:t>
      </w:r>
      <w:r w:rsidRPr="002E5315">
        <w:rPr>
          <w:szCs w:val="23"/>
        </w:rPr>
        <w:lastRenderedPageBreak/>
        <w:t>konkretnom slučaju ne postoji osnovana sumnja da je za nepoštivanje odredbi Zakona odgovoran službenik za informiranje</w:t>
      </w:r>
      <w:r w:rsidR="00633D93">
        <w:rPr>
          <w:szCs w:val="23"/>
        </w:rPr>
        <w:t>.</w:t>
      </w:r>
    </w:p>
    <w:p w14:paraId="1495F93E" w14:textId="41921304" w:rsidR="00361CEF" w:rsidRPr="002E5315" w:rsidRDefault="00361CEF" w:rsidP="00361CEF">
      <w:pPr>
        <w:rPr>
          <w:szCs w:val="23"/>
        </w:rPr>
      </w:pPr>
      <w:r w:rsidRPr="002E5315">
        <w:rPr>
          <w:szCs w:val="23"/>
        </w:rPr>
        <w:t>Podaci o izdanim prekršajnim nalozima, optužnom prijedlogu i odlukama prekršajnih sudova prikazani su u Tablici 6.1.</w:t>
      </w:r>
    </w:p>
    <w:p w14:paraId="588775C5" w14:textId="6AA7F283" w:rsidR="00361CEF" w:rsidRPr="002E5315" w:rsidRDefault="00361CEF" w:rsidP="00361CEF">
      <w:pPr>
        <w:pStyle w:val="Naslov2"/>
      </w:pPr>
      <w:bookmarkStart w:id="56" w:name="_Toc36308958"/>
      <w:r w:rsidRPr="002E5315">
        <w:t>Odlučivanje prekršajnih sudova</w:t>
      </w:r>
      <w:bookmarkEnd w:id="56"/>
      <w:r w:rsidRPr="002E5315">
        <w:t xml:space="preserve"> </w:t>
      </w:r>
    </w:p>
    <w:p w14:paraId="26AF7468" w14:textId="77777777" w:rsidR="00DC1B40" w:rsidRPr="002E5315" w:rsidRDefault="00DC1B40" w:rsidP="00DC1B40">
      <w:pPr>
        <w:rPr>
          <w:szCs w:val="23"/>
        </w:rPr>
      </w:pPr>
      <w:r w:rsidRPr="002E5315">
        <w:rPr>
          <w:szCs w:val="23"/>
        </w:rPr>
        <w:t>U 2019. zaprimljeno je 37 odluka prekršajnih sudova, od kojih su 23 bile od Općinskog prekršajnog suda u Splitu, Stalne službe u Solinu, 8 Općinskog suda u Osijeku, Stalne službe u Belom Manastiru, 1 Općinskog prekršajnog suda u Zagrebu, 1 Općinskog suda u Šibeniku, Prekršajnog odjela, a 4 od Visokog prekršajnog suda RH.</w:t>
      </w:r>
    </w:p>
    <w:p w14:paraId="34118D2D" w14:textId="77777777" w:rsidR="00DC1B40" w:rsidRPr="002E5315" w:rsidRDefault="00DC1B40" w:rsidP="00DC1B40">
      <w:pPr>
        <w:rPr>
          <w:szCs w:val="23"/>
        </w:rPr>
      </w:pPr>
      <w:r w:rsidRPr="002E5315">
        <w:rPr>
          <w:szCs w:val="23"/>
        </w:rPr>
        <w:t>Od 22 zaprimljene meritorne odluke, u 20 predmeta su Općinski prekršajni sud u Splitu, Stalna služba u Solinu i Općinski sud u Osijeku, Stalna služba u Belom Manastiru kao nadležni sudovi</w:t>
      </w:r>
      <w:r w:rsidRPr="002E5315">
        <w:rPr>
          <w:color w:val="FF0000"/>
          <w:szCs w:val="23"/>
        </w:rPr>
        <w:t xml:space="preserve"> </w:t>
      </w:r>
      <w:r w:rsidRPr="002E5315">
        <w:rPr>
          <w:szCs w:val="23"/>
        </w:rPr>
        <w:t>načelnike Općine Čeminac i Muć proglasili krivim, s time da je načelniku Općine Muć u svih 12 slučajeva izrečena i novčana kazna (ukupno 13.000,00 kn), a načelnik Općine Čeminac je u svih 8 slučajeva oslobođen plaćanja novčane kazne.</w:t>
      </w:r>
    </w:p>
    <w:p w14:paraId="4DDF0894" w14:textId="77777777" w:rsidR="00633D93" w:rsidRDefault="00DC1B40" w:rsidP="00DC1B40">
      <w:pPr>
        <w:rPr>
          <w:szCs w:val="23"/>
        </w:rPr>
      </w:pPr>
      <w:r w:rsidRPr="002E5315">
        <w:rPr>
          <w:szCs w:val="23"/>
        </w:rPr>
        <w:t>U 1 slučaju je Prekršajni odjel Općinskog suda u Šibeniku odbio optužbu zbog zastare prekršajnog progona, dok je 1 slučaju Općinski prekršajni sud u Zagrebu je okrivljenika oslobodio optužbe obrazlažući odluku time da okrivljenik (predsjednica Hrvatske komore fizioterapeuta) nije odgovorna osoba. Na odluku Općinskog prekršajnog suda u Zagrebu o oslobađaju optužbe Povjerenik je izjavio žalbu Visokom prekršajnom sudu RH</w:t>
      </w:r>
      <w:r w:rsidR="00633D93">
        <w:rPr>
          <w:szCs w:val="23"/>
        </w:rPr>
        <w:t>.</w:t>
      </w:r>
    </w:p>
    <w:p w14:paraId="6FC19568" w14:textId="77777777" w:rsidR="00633D93" w:rsidRDefault="00DC1B40" w:rsidP="00DC1B40">
      <w:pPr>
        <w:rPr>
          <w:szCs w:val="23"/>
        </w:rPr>
      </w:pPr>
      <w:r w:rsidRPr="002E5315">
        <w:rPr>
          <w:szCs w:val="23"/>
        </w:rPr>
        <w:t>Visoki prekršajni sud RH donio je u 2019. 4 odluke, od čega je 1 presudom odbijena žalba Povjerenika kao neosnovana, dok je u 3 slučaja presudom preinačena prvostupanjska presuda povodom žalbe okrivljenika zbog zastare prekršajnog progona</w:t>
      </w:r>
      <w:r w:rsidR="00633D93">
        <w:rPr>
          <w:szCs w:val="23"/>
        </w:rPr>
        <w:t>.</w:t>
      </w:r>
    </w:p>
    <w:p w14:paraId="6BFD178A" w14:textId="0058F527" w:rsidR="00361CEF" w:rsidRPr="002E5315" w:rsidRDefault="00361CEF" w:rsidP="00361CEF">
      <w:pPr>
        <w:keepNext/>
        <w:spacing w:before="240"/>
        <w:rPr>
          <w:sz w:val="20"/>
          <w:szCs w:val="20"/>
        </w:rPr>
      </w:pPr>
      <w:r w:rsidRPr="002E5315">
        <w:rPr>
          <w:sz w:val="20"/>
          <w:szCs w:val="20"/>
        </w:rPr>
        <w:t>Tablica 6.1. Prekršaji 2014.-2019.</w:t>
      </w:r>
    </w:p>
    <w:tbl>
      <w:tblPr>
        <w:tblStyle w:val="ListTable2-Accent11"/>
        <w:tblW w:w="5000" w:type="pct"/>
        <w:jc w:val="center"/>
        <w:tblLook w:val="04A0" w:firstRow="1" w:lastRow="0" w:firstColumn="1" w:lastColumn="0" w:noHBand="0" w:noVBand="1"/>
      </w:tblPr>
      <w:tblGrid>
        <w:gridCol w:w="4571"/>
        <w:gridCol w:w="97"/>
        <w:gridCol w:w="674"/>
        <w:gridCol w:w="7"/>
        <w:gridCol w:w="730"/>
        <w:gridCol w:w="7"/>
        <w:gridCol w:w="985"/>
        <w:gridCol w:w="7"/>
        <w:gridCol w:w="730"/>
        <w:gridCol w:w="7"/>
        <w:gridCol w:w="730"/>
        <w:gridCol w:w="7"/>
        <w:gridCol w:w="736"/>
      </w:tblGrid>
      <w:tr w:rsidR="00A87B08" w:rsidRPr="002E5315" w14:paraId="0150D259" w14:textId="77777777" w:rsidTr="00217E30">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460" w:type="pct"/>
            <w:noWrap/>
            <w:vAlign w:val="center"/>
          </w:tcPr>
          <w:p w14:paraId="479976A8" w14:textId="69B3DCCA" w:rsidR="00A87B08" w:rsidRPr="002E5315" w:rsidRDefault="00A87B08" w:rsidP="00A87B08">
            <w:pPr>
              <w:jc w:val="center"/>
              <w:rPr>
                <w:rFonts w:cs="Calibri"/>
                <w:b w:val="0"/>
                <w:bCs w:val="0"/>
                <w:color w:val="000000"/>
                <w:sz w:val="20"/>
                <w:szCs w:val="20"/>
              </w:rPr>
            </w:pPr>
            <w:r w:rsidRPr="002E5315">
              <w:rPr>
                <w:rFonts w:cs="Calibri"/>
                <w:b w:val="0"/>
                <w:bCs w:val="0"/>
                <w:color w:val="000000"/>
                <w:sz w:val="20"/>
                <w:szCs w:val="20"/>
              </w:rPr>
              <w:t>Prekršaji 2014.-2019.</w:t>
            </w:r>
          </w:p>
        </w:tc>
        <w:tc>
          <w:tcPr>
            <w:tcW w:w="415" w:type="pct"/>
            <w:gridSpan w:val="2"/>
            <w:vAlign w:val="center"/>
          </w:tcPr>
          <w:p w14:paraId="6569DB6D" w14:textId="4EF11AE5" w:rsidR="00A87B08" w:rsidRPr="002E5315" w:rsidRDefault="00A87B08" w:rsidP="00A87B0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2E5315">
              <w:rPr>
                <w:rFonts w:cs="Calibri"/>
                <w:b w:val="0"/>
                <w:bCs w:val="0"/>
                <w:color w:val="000000"/>
                <w:sz w:val="20"/>
                <w:szCs w:val="20"/>
              </w:rPr>
              <w:t>2014.</w:t>
            </w:r>
          </w:p>
        </w:tc>
        <w:tc>
          <w:tcPr>
            <w:tcW w:w="397" w:type="pct"/>
            <w:gridSpan w:val="2"/>
            <w:vAlign w:val="center"/>
          </w:tcPr>
          <w:p w14:paraId="2913E0FB" w14:textId="12A19C6F" w:rsidR="00A87B08" w:rsidRPr="002E5315" w:rsidRDefault="00A87B08" w:rsidP="00A87B0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2E5315">
              <w:rPr>
                <w:rFonts w:cs="Calibri"/>
                <w:b w:val="0"/>
                <w:bCs w:val="0"/>
                <w:color w:val="000000"/>
                <w:sz w:val="20"/>
                <w:szCs w:val="20"/>
              </w:rPr>
              <w:t>2015.</w:t>
            </w:r>
          </w:p>
        </w:tc>
        <w:tc>
          <w:tcPr>
            <w:tcW w:w="534" w:type="pct"/>
            <w:gridSpan w:val="2"/>
            <w:noWrap/>
            <w:vAlign w:val="center"/>
          </w:tcPr>
          <w:p w14:paraId="7AAAC4BD" w14:textId="5CFB0E9C" w:rsidR="00A87B08" w:rsidRPr="002E5315" w:rsidRDefault="00A87B08" w:rsidP="00A87B0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2E5315">
              <w:rPr>
                <w:rFonts w:cs="Calibri"/>
                <w:b w:val="0"/>
                <w:bCs w:val="0"/>
                <w:color w:val="000000"/>
                <w:sz w:val="20"/>
                <w:szCs w:val="20"/>
              </w:rPr>
              <w:t>2016.</w:t>
            </w:r>
          </w:p>
        </w:tc>
        <w:tc>
          <w:tcPr>
            <w:tcW w:w="397" w:type="pct"/>
            <w:gridSpan w:val="2"/>
            <w:vAlign w:val="center"/>
          </w:tcPr>
          <w:p w14:paraId="044A7269" w14:textId="266C7108" w:rsidR="00A87B08" w:rsidRPr="002E5315" w:rsidRDefault="00A87B08" w:rsidP="00A87B0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2E5315">
              <w:rPr>
                <w:rFonts w:cs="Calibri"/>
                <w:b w:val="0"/>
                <w:bCs w:val="0"/>
                <w:color w:val="000000"/>
                <w:sz w:val="20"/>
                <w:szCs w:val="20"/>
              </w:rPr>
              <w:t>2017.</w:t>
            </w:r>
          </w:p>
        </w:tc>
        <w:tc>
          <w:tcPr>
            <w:tcW w:w="397" w:type="pct"/>
            <w:gridSpan w:val="2"/>
            <w:vAlign w:val="center"/>
          </w:tcPr>
          <w:p w14:paraId="3713E16A" w14:textId="29390B23" w:rsidR="00A87B08" w:rsidRPr="002E5315" w:rsidRDefault="00A87B08" w:rsidP="00A87B0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2E5315">
              <w:rPr>
                <w:rFonts w:cs="Calibri"/>
                <w:b w:val="0"/>
                <w:bCs w:val="0"/>
                <w:color w:val="000000"/>
                <w:sz w:val="20"/>
                <w:szCs w:val="20"/>
              </w:rPr>
              <w:t>2018.</w:t>
            </w:r>
          </w:p>
        </w:tc>
        <w:tc>
          <w:tcPr>
            <w:tcW w:w="401" w:type="pct"/>
            <w:gridSpan w:val="2"/>
            <w:vAlign w:val="center"/>
          </w:tcPr>
          <w:p w14:paraId="10BB6CFD" w14:textId="0C6CFF48" w:rsidR="00A87B08" w:rsidRPr="002E5315" w:rsidRDefault="00A87B08" w:rsidP="00A87B0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2E5315">
              <w:rPr>
                <w:rFonts w:cs="Calibri"/>
                <w:b w:val="0"/>
                <w:bCs w:val="0"/>
                <w:color w:val="000000"/>
                <w:sz w:val="20"/>
                <w:szCs w:val="20"/>
              </w:rPr>
              <w:t>2019.</w:t>
            </w:r>
          </w:p>
        </w:tc>
      </w:tr>
      <w:tr w:rsidR="00A87B08" w:rsidRPr="002E5315" w14:paraId="7B0E088A" w14:textId="77777777" w:rsidTr="00217E30">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48C3105E"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Obavijesti o namjeri pokretanja postupka</w:t>
            </w:r>
          </w:p>
        </w:tc>
        <w:tc>
          <w:tcPr>
            <w:tcW w:w="367" w:type="pct"/>
            <w:gridSpan w:val="2"/>
            <w:vAlign w:val="center"/>
            <w:hideMark/>
          </w:tcPr>
          <w:p w14:paraId="7E57C0E2"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5</w:t>
            </w:r>
          </w:p>
        </w:tc>
        <w:tc>
          <w:tcPr>
            <w:tcW w:w="397" w:type="pct"/>
            <w:gridSpan w:val="2"/>
            <w:vAlign w:val="center"/>
            <w:hideMark/>
          </w:tcPr>
          <w:p w14:paraId="078F9D09"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12</w:t>
            </w:r>
          </w:p>
        </w:tc>
        <w:tc>
          <w:tcPr>
            <w:tcW w:w="534" w:type="pct"/>
            <w:gridSpan w:val="2"/>
            <w:noWrap/>
            <w:vAlign w:val="center"/>
            <w:hideMark/>
          </w:tcPr>
          <w:p w14:paraId="2B880A5C"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13</w:t>
            </w:r>
          </w:p>
        </w:tc>
        <w:tc>
          <w:tcPr>
            <w:tcW w:w="397" w:type="pct"/>
            <w:gridSpan w:val="2"/>
            <w:vAlign w:val="center"/>
            <w:hideMark/>
          </w:tcPr>
          <w:p w14:paraId="1D0225B8"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25</w:t>
            </w:r>
          </w:p>
        </w:tc>
        <w:tc>
          <w:tcPr>
            <w:tcW w:w="397" w:type="pct"/>
            <w:gridSpan w:val="2"/>
            <w:vAlign w:val="center"/>
            <w:hideMark/>
          </w:tcPr>
          <w:p w14:paraId="766DC374"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8</w:t>
            </w:r>
          </w:p>
        </w:tc>
        <w:tc>
          <w:tcPr>
            <w:tcW w:w="397" w:type="pct"/>
            <w:vAlign w:val="center"/>
            <w:hideMark/>
          </w:tcPr>
          <w:p w14:paraId="6BF04182" w14:textId="77777777" w:rsidR="00A87B08" w:rsidRPr="00342E9C"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342E9C">
              <w:rPr>
                <w:rFonts w:cs="Calibri"/>
                <w:color w:val="000000"/>
                <w:sz w:val="20"/>
                <w:szCs w:val="20"/>
              </w:rPr>
              <w:t>10</w:t>
            </w:r>
          </w:p>
        </w:tc>
      </w:tr>
      <w:tr w:rsidR="00A87B08" w:rsidRPr="002E5315" w14:paraId="1FF9118B" w14:textId="77777777" w:rsidTr="00217E30">
        <w:trPr>
          <w:trHeight w:val="315"/>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646AA11F"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 xml:space="preserve">Podneseni optužni prijedlozi </w:t>
            </w:r>
          </w:p>
        </w:tc>
        <w:tc>
          <w:tcPr>
            <w:tcW w:w="367" w:type="pct"/>
            <w:gridSpan w:val="2"/>
            <w:vAlign w:val="center"/>
            <w:hideMark/>
          </w:tcPr>
          <w:p w14:paraId="69B4205D"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4</w:t>
            </w:r>
          </w:p>
        </w:tc>
        <w:tc>
          <w:tcPr>
            <w:tcW w:w="397" w:type="pct"/>
            <w:gridSpan w:val="2"/>
            <w:vAlign w:val="center"/>
            <w:hideMark/>
          </w:tcPr>
          <w:p w14:paraId="3E4A8486"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7</w:t>
            </w:r>
          </w:p>
        </w:tc>
        <w:tc>
          <w:tcPr>
            <w:tcW w:w="534" w:type="pct"/>
            <w:gridSpan w:val="2"/>
            <w:noWrap/>
            <w:vAlign w:val="center"/>
            <w:hideMark/>
          </w:tcPr>
          <w:p w14:paraId="4BCAE25E"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6</w:t>
            </w:r>
          </w:p>
        </w:tc>
        <w:tc>
          <w:tcPr>
            <w:tcW w:w="397" w:type="pct"/>
            <w:gridSpan w:val="2"/>
            <w:vAlign w:val="center"/>
            <w:hideMark/>
          </w:tcPr>
          <w:p w14:paraId="415B1A3F"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7</w:t>
            </w:r>
          </w:p>
        </w:tc>
        <w:tc>
          <w:tcPr>
            <w:tcW w:w="397" w:type="pct"/>
            <w:gridSpan w:val="2"/>
            <w:vAlign w:val="center"/>
            <w:hideMark/>
          </w:tcPr>
          <w:p w14:paraId="5F0AC484"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8</w:t>
            </w:r>
          </w:p>
        </w:tc>
        <w:tc>
          <w:tcPr>
            <w:tcW w:w="397" w:type="pct"/>
            <w:vAlign w:val="center"/>
            <w:hideMark/>
          </w:tcPr>
          <w:p w14:paraId="3B21EFCB" w14:textId="77777777" w:rsidR="00A87B08" w:rsidRPr="00342E9C"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342E9C">
              <w:rPr>
                <w:rFonts w:cs="Calibri"/>
                <w:color w:val="000000"/>
                <w:sz w:val="20"/>
                <w:szCs w:val="20"/>
              </w:rPr>
              <w:t>1</w:t>
            </w:r>
          </w:p>
        </w:tc>
      </w:tr>
      <w:tr w:rsidR="00A87B08" w:rsidRPr="002E5315" w14:paraId="7A7B69C3" w14:textId="77777777" w:rsidTr="00217E3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3122D052"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Izrečeni prekršajni nalozi</w:t>
            </w:r>
          </w:p>
        </w:tc>
        <w:tc>
          <w:tcPr>
            <w:tcW w:w="367" w:type="pct"/>
            <w:gridSpan w:val="2"/>
            <w:vAlign w:val="center"/>
            <w:hideMark/>
          </w:tcPr>
          <w:p w14:paraId="1F9EB6ED"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26DC7379"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hideMark/>
          </w:tcPr>
          <w:p w14:paraId="7246A678"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1B6D4EAB"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2</w:t>
            </w:r>
          </w:p>
        </w:tc>
        <w:tc>
          <w:tcPr>
            <w:tcW w:w="397" w:type="pct"/>
            <w:gridSpan w:val="2"/>
            <w:vAlign w:val="center"/>
            <w:hideMark/>
          </w:tcPr>
          <w:p w14:paraId="4B6FC060"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vAlign w:val="center"/>
            <w:hideMark/>
          </w:tcPr>
          <w:p w14:paraId="1933FCF1" w14:textId="77777777" w:rsidR="00A87B08" w:rsidRPr="00342E9C"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342E9C">
              <w:rPr>
                <w:rFonts w:cs="Calibri"/>
                <w:color w:val="000000"/>
                <w:sz w:val="20"/>
                <w:szCs w:val="20"/>
              </w:rPr>
              <w:t>17</w:t>
            </w:r>
          </w:p>
        </w:tc>
      </w:tr>
      <w:tr w:rsidR="00A87B08" w:rsidRPr="002E5315" w14:paraId="20EA7442" w14:textId="77777777" w:rsidTr="00217E30">
        <w:trPr>
          <w:trHeight w:val="364"/>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6B95513A" w14:textId="77777777" w:rsidR="00A87B08" w:rsidRPr="002E5315" w:rsidRDefault="00A87B08" w:rsidP="00A87B08">
            <w:pPr>
              <w:rPr>
                <w:rFonts w:cs="Calibri"/>
                <w:color w:val="000000"/>
                <w:sz w:val="20"/>
                <w:szCs w:val="20"/>
                <w:highlight w:val="yellow"/>
              </w:rPr>
            </w:pPr>
            <w:r w:rsidRPr="002E5315">
              <w:rPr>
                <w:rFonts w:cs="Calibri"/>
                <w:color w:val="000000"/>
                <w:sz w:val="20"/>
                <w:szCs w:val="20"/>
              </w:rPr>
              <w:t>Odluke prekršajnih sudova – Ukupno</w:t>
            </w:r>
          </w:p>
        </w:tc>
        <w:tc>
          <w:tcPr>
            <w:tcW w:w="367" w:type="pct"/>
            <w:gridSpan w:val="2"/>
            <w:vAlign w:val="center"/>
            <w:hideMark/>
          </w:tcPr>
          <w:p w14:paraId="5A5A13C8"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4</w:t>
            </w:r>
          </w:p>
        </w:tc>
        <w:tc>
          <w:tcPr>
            <w:tcW w:w="397" w:type="pct"/>
            <w:gridSpan w:val="2"/>
            <w:vAlign w:val="center"/>
            <w:hideMark/>
          </w:tcPr>
          <w:p w14:paraId="4CB5C748"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6</w:t>
            </w:r>
          </w:p>
        </w:tc>
        <w:tc>
          <w:tcPr>
            <w:tcW w:w="534" w:type="pct"/>
            <w:gridSpan w:val="2"/>
            <w:noWrap/>
            <w:vAlign w:val="center"/>
            <w:hideMark/>
          </w:tcPr>
          <w:p w14:paraId="74AAF702"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3</w:t>
            </w:r>
          </w:p>
        </w:tc>
        <w:tc>
          <w:tcPr>
            <w:tcW w:w="397" w:type="pct"/>
            <w:gridSpan w:val="2"/>
            <w:vAlign w:val="center"/>
            <w:hideMark/>
          </w:tcPr>
          <w:p w14:paraId="5DD31078"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12</w:t>
            </w:r>
          </w:p>
        </w:tc>
        <w:tc>
          <w:tcPr>
            <w:tcW w:w="397" w:type="pct"/>
            <w:gridSpan w:val="2"/>
            <w:vAlign w:val="center"/>
            <w:hideMark/>
          </w:tcPr>
          <w:p w14:paraId="052BB878"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3</w:t>
            </w:r>
          </w:p>
        </w:tc>
        <w:tc>
          <w:tcPr>
            <w:tcW w:w="397" w:type="pct"/>
            <w:vAlign w:val="center"/>
            <w:hideMark/>
          </w:tcPr>
          <w:p w14:paraId="79508425"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37</w:t>
            </w:r>
          </w:p>
        </w:tc>
      </w:tr>
      <w:tr w:rsidR="00A87B08" w:rsidRPr="002E5315" w14:paraId="2C7C7EEC" w14:textId="77777777" w:rsidTr="00217E3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5D7AC258"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presuda kojom se okrivljenik oslobađa optužbe</w:t>
            </w:r>
          </w:p>
        </w:tc>
        <w:tc>
          <w:tcPr>
            <w:tcW w:w="367" w:type="pct"/>
            <w:gridSpan w:val="2"/>
            <w:vAlign w:val="center"/>
            <w:hideMark/>
          </w:tcPr>
          <w:p w14:paraId="497E96EA"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gridSpan w:val="2"/>
            <w:vAlign w:val="center"/>
            <w:hideMark/>
          </w:tcPr>
          <w:p w14:paraId="18706CE5"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3</w:t>
            </w:r>
          </w:p>
        </w:tc>
        <w:tc>
          <w:tcPr>
            <w:tcW w:w="534" w:type="pct"/>
            <w:gridSpan w:val="2"/>
            <w:noWrap/>
            <w:vAlign w:val="center"/>
            <w:hideMark/>
          </w:tcPr>
          <w:p w14:paraId="2C0E5786"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gridSpan w:val="2"/>
            <w:vAlign w:val="center"/>
            <w:hideMark/>
          </w:tcPr>
          <w:p w14:paraId="3D406A59"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6B3CBAC9"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vAlign w:val="center"/>
            <w:hideMark/>
          </w:tcPr>
          <w:p w14:paraId="13D6A4C9"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r>
      <w:tr w:rsidR="00A87B08" w:rsidRPr="002E5315" w14:paraId="7577B31F" w14:textId="77777777" w:rsidTr="00217E30">
        <w:trPr>
          <w:trHeight w:val="274"/>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3F1DFDA6"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rješenje kojim se odbacuje optužni prijedlog</w:t>
            </w:r>
          </w:p>
        </w:tc>
        <w:tc>
          <w:tcPr>
            <w:tcW w:w="367" w:type="pct"/>
            <w:gridSpan w:val="2"/>
            <w:vAlign w:val="center"/>
            <w:hideMark/>
          </w:tcPr>
          <w:p w14:paraId="7C98A1F1"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gridSpan w:val="2"/>
            <w:vAlign w:val="center"/>
            <w:hideMark/>
          </w:tcPr>
          <w:p w14:paraId="06899630"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534" w:type="pct"/>
            <w:gridSpan w:val="2"/>
            <w:noWrap/>
            <w:vAlign w:val="center"/>
            <w:hideMark/>
          </w:tcPr>
          <w:p w14:paraId="675357D2"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gridSpan w:val="2"/>
            <w:vAlign w:val="center"/>
            <w:hideMark/>
          </w:tcPr>
          <w:p w14:paraId="035D0FD3"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7</w:t>
            </w:r>
          </w:p>
        </w:tc>
        <w:tc>
          <w:tcPr>
            <w:tcW w:w="397" w:type="pct"/>
            <w:gridSpan w:val="2"/>
            <w:vAlign w:val="center"/>
            <w:hideMark/>
          </w:tcPr>
          <w:p w14:paraId="2434C0C9"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vAlign w:val="center"/>
            <w:hideMark/>
          </w:tcPr>
          <w:p w14:paraId="16D49C2A"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r>
      <w:tr w:rsidR="00A87B08" w:rsidRPr="002E5315" w14:paraId="0488AE33" w14:textId="77777777" w:rsidTr="00217E30">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0C1FB17D"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rješenje o spajanju prekršajnih postupaka</w:t>
            </w:r>
          </w:p>
        </w:tc>
        <w:tc>
          <w:tcPr>
            <w:tcW w:w="367" w:type="pct"/>
            <w:gridSpan w:val="2"/>
            <w:vAlign w:val="center"/>
            <w:hideMark/>
          </w:tcPr>
          <w:p w14:paraId="36E8BA63"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194347BA"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hideMark/>
          </w:tcPr>
          <w:p w14:paraId="4523634B"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79A4FAFA"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gridSpan w:val="2"/>
            <w:vAlign w:val="center"/>
            <w:hideMark/>
          </w:tcPr>
          <w:p w14:paraId="493D34A4"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vAlign w:val="center"/>
            <w:hideMark/>
          </w:tcPr>
          <w:p w14:paraId="4C19601A"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11</w:t>
            </w:r>
          </w:p>
        </w:tc>
      </w:tr>
      <w:tr w:rsidR="00A87B08" w:rsidRPr="002E5315" w14:paraId="3C928B40" w14:textId="77777777" w:rsidTr="00217E30">
        <w:trPr>
          <w:trHeight w:val="315"/>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0A8F8B76" w14:textId="77777777" w:rsidR="00A87B08" w:rsidRPr="002E5315" w:rsidRDefault="00A87B08" w:rsidP="00A87B08">
            <w:pPr>
              <w:rPr>
                <w:rFonts w:cs="Calibri"/>
                <w:b w:val="0"/>
                <w:bCs w:val="0"/>
                <w:sz w:val="20"/>
                <w:szCs w:val="20"/>
              </w:rPr>
            </w:pPr>
            <w:r w:rsidRPr="002E5315">
              <w:rPr>
                <w:rFonts w:cs="Calibri"/>
                <w:b w:val="0"/>
                <w:bCs w:val="0"/>
                <w:sz w:val="20"/>
                <w:szCs w:val="20"/>
              </w:rPr>
              <w:t>izdan prekršajni nalog</w:t>
            </w:r>
          </w:p>
        </w:tc>
        <w:tc>
          <w:tcPr>
            <w:tcW w:w="367" w:type="pct"/>
            <w:gridSpan w:val="2"/>
            <w:vAlign w:val="center"/>
            <w:hideMark/>
          </w:tcPr>
          <w:p w14:paraId="3FE5D26F"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2</w:t>
            </w:r>
          </w:p>
        </w:tc>
        <w:tc>
          <w:tcPr>
            <w:tcW w:w="397" w:type="pct"/>
            <w:gridSpan w:val="2"/>
            <w:vAlign w:val="center"/>
            <w:hideMark/>
          </w:tcPr>
          <w:p w14:paraId="6EC6B860"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1</w:t>
            </w:r>
          </w:p>
        </w:tc>
        <w:tc>
          <w:tcPr>
            <w:tcW w:w="534" w:type="pct"/>
            <w:gridSpan w:val="2"/>
            <w:noWrap/>
            <w:vAlign w:val="center"/>
            <w:hideMark/>
          </w:tcPr>
          <w:p w14:paraId="589C22B9"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397" w:type="pct"/>
            <w:gridSpan w:val="2"/>
            <w:vAlign w:val="center"/>
            <w:hideMark/>
          </w:tcPr>
          <w:p w14:paraId="78ED0A1D"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397" w:type="pct"/>
            <w:gridSpan w:val="2"/>
            <w:vAlign w:val="center"/>
            <w:hideMark/>
          </w:tcPr>
          <w:p w14:paraId="38AA04DB"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397" w:type="pct"/>
            <w:vAlign w:val="center"/>
            <w:hideMark/>
          </w:tcPr>
          <w:p w14:paraId="6D890505"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r>
      <w:tr w:rsidR="00A87B08" w:rsidRPr="002E5315" w14:paraId="787F6BFB" w14:textId="77777777" w:rsidTr="00217E30">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5CF4E898"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 xml:space="preserve">presuda kojom se okrivljenik proglašava krivim </w:t>
            </w:r>
          </w:p>
        </w:tc>
        <w:tc>
          <w:tcPr>
            <w:tcW w:w="367" w:type="pct"/>
            <w:gridSpan w:val="2"/>
            <w:vAlign w:val="center"/>
            <w:hideMark/>
          </w:tcPr>
          <w:p w14:paraId="3A8C00F6"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280DACDE"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534" w:type="pct"/>
            <w:gridSpan w:val="2"/>
            <w:noWrap/>
            <w:vAlign w:val="center"/>
            <w:hideMark/>
          </w:tcPr>
          <w:p w14:paraId="2FAD8FC6"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gridSpan w:val="2"/>
            <w:vAlign w:val="center"/>
            <w:hideMark/>
          </w:tcPr>
          <w:p w14:paraId="30717194"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4</w:t>
            </w:r>
          </w:p>
        </w:tc>
        <w:tc>
          <w:tcPr>
            <w:tcW w:w="397" w:type="pct"/>
            <w:gridSpan w:val="2"/>
            <w:vAlign w:val="center"/>
            <w:hideMark/>
          </w:tcPr>
          <w:p w14:paraId="0B1EFBA8"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2</w:t>
            </w:r>
          </w:p>
        </w:tc>
        <w:tc>
          <w:tcPr>
            <w:tcW w:w="397" w:type="pct"/>
            <w:vAlign w:val="center"/>
            <w:hideMark/>
          </w:tcPr>
          <w:p w14:paraId="3EA91B0C"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20</w:t>
            </w:r>
          </w:p>
        </w:tc>
      </w:tr>
      <w:tr w:rsidR="00A87B08" w:rsidRPr="002E5315" w14:paraId="00858743" w14:textId="77777777" w:rsidTr="00217E30">
        <w:trPr>
          <w:trHeight w:val="280"/>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4B5E671B"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presuda kojom se odbija optužba zbog zastare</w:t>
            </w:r>
          </w:p>
        </w:tc>
        <w:tc>
          <w:tcPr>
            <w:tcW w:w="367" w:type="pct"/>
            <w:gridSpan w:val="2"/>
            <w:vAlign w:val="center"/>
            <w:hideMark/>
          </w:tcPr>
          <w:p w14:paraId="7FA65870"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c>
          <w:tcPr>
            <w:tcW w:w="397" w:type="pct"/>
            <w:gridSpan w:val="2"/>
            <w:vAlign w:val="center"/>
            <w:hideMark/>
          </w:tcPr>
          <w:p w14:paraId="2B9BB487"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c>
          <w:tcPr>
            <w:tcW w:w="534" w:type="pct"/>
            <w:gridSpan w:val="2"/>
            <w:noWrap/>
            <w:vAlign w:val="center"/>
            <w:hideMark/>
          </w:tcPr>
          <w:p w14:paraId="0F6971FE"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c>
          <w:tcPr>
            <w:tcW w:w="397" w:type="pct"/>
            <w:gridSpan w:val="2"/>
            <w:vAlign w:val="center"/>
            <w:hideMark/>
          </w:tcPr>
          <w:p w14:paraId="5B46D3AC"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c>
          <w:tcPr>
            <w:tcW w:w="397" w:type="pct"/>
            <w:gridSpan w:val="2"/>
            <w:vAlign w:val="center"/>
            <w:hideMark/>
          </w:tcPr>
          <w:p w14:paraId="47334261"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vAlign w:val="center"/>
            <w:hideMark/>
          </w:tcPr>
          <w:p w14:paraId="1486555D"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r>
      <w:tr w:rsidR="00A87B08" w:rsidRPr="002E5315" w14:paraId="7B61A8B6" w14:textId="77777777" w:rsidTr="00217E30">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1DA2CAD7" w14:textId="77777777" w:rsidR="00A87B08" w:rsidRPr="002E5315" w:rsidRDefault="00A87B08" w:rsidP="00A87B08">
            <w:pPr>
              <w:rPr>
                <w:rFonts w:cs="Calibri"/>
                <w:color w:val="000000"/>
                <w:sz w:val="20"/>
                <w:szCs w:val="20"/>
              </w:rPr>
            </w:pPr>
            <w:r w:rsidRPr="002E5315">
              <w:rPr>
                <w:rFonts w:cs="Calibri"/>
                <w:color w:val="000000"/>
                <w:sz w:val="20"/>
                <w:szCs w:val="20"/>
              </w:rPr>
              <w:t>Odluke Visokog prekršajnog suda RH</w:t>
            </w:r>
          </w:p>
        </w:tc>
        <w:tc>
          <w:tcPr>
            <w:tcW w:w="367" w:type="pct"/>
            <w:gridSpan w:val="2"/>
            <w:vAlign w:val="center"/>
            <w:hideMark/>
          </w:tcPr>
          <w:p w14:paraId="094C681C"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0</w:t>
            </w:r>
          </w:p>
        </w:tc>
        <w:tc>
          <w:tcPr>
            <w:tcW w:w="397" w:type="pct"/>
            <w:gridSpan w:val="2"/>
            <w:vAlign w:val="center"/>
            <w:hideMark/>
          </w:tcPr>
          <w:p w14:paraId="5342BC85"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0</w:t>
            </w:r>
          </w:p>
        </w:tc>
        <w:tc>
          <w:tcPr>
            <w:tcW w:w="534" w:type="pct"/>
            <w:gridSpan w:val="2"/>
            <w:noWrap/>
            <w:vAlign w:val="center"/>
            <w:hideMark/>
          </w:tcPr>
          <w:p w14:paraId="4247214E"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3</w:t>
            </w:r>
          </w:p>
        </w:tc>
        <w:tc>
          <w:tcPr>
            <w:tcW w:w="397" w:type="pct"/>
            <w:gridSpan w:val="2"/>
            <w:vAlign w:val="center"/>
            <w:hideMark/>
          </w:tcPr>
          <w:p w14:paraId="3DD58D8B"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4</w:t>
            </w:r>
          </w:p>
        </w:tc>
        <w:tc>
          <w:tcPr>
            <w:tcW w:w="397" w:type="pct"/>
            <w:gridSpan w:val="2"/>
            <w:vAlign w:val="center"/>
            <w:hideMark/>
          </w:tcPr>
          <w:p w14:paraId="44A3F007"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7</w:t>
            </w:r>
          </w:p>
        </w:tc>
        <w:tc>
          <w:tcPr>
            <w:tcW w:w="397" w:type="pct"/>
            <w:vAlign w:val="center"/>
            <w:hideMark/>
          </w:tcPr>
          <w:p w14:paraId="603C10E9"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4</w:t>
            </w:r>
          </w:p>
        </w:tc>
      </w:tr>
      <w:tr w:rsidR="00A87B08" w:rsidRPr="002E5315" w14:paraId="792E66BA" w14:textId="77777777" w:rsidTr="00217E30">
        <w:trPr>
          <w:trHeight w:val="421"/>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6C9247CC"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lastRenderedPageBreak/>
              <w:t>presuda kojom se odbija optužba zbog zastare</w:t>
            </w:r>
          </w:p>
        </w:tc>
        <w:tc>
          <w:tcPr>
            <w:tcW w:w="367" w:type="pct"/>
            <w:gridSpan w:val="2"/>
            <w:vAlign w:val="center"/>
            <w:hideMark/>
          </w:tcPr>
          <w:p w14:paraId="42D95CB6"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27C698D8"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hideMark/>
          </w:tcPr>
          <w:p w14:paraId="08E2716F"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3</w:t>
            </w:r>
          </w:p>
        </w:tc>
        <w:tc>
          <w:tcPr>
            <w:tcW w:w="397" w:type="pct"/>
            <w:gridSpan w:val="2"/>
            <w:vAlign w:val="center"/>
            <w:hideMark/>
          </w:tcPr>
          <w:p w14:paraId="7226766E"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489A4243"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2</w:t>
            </w:r>
          </w:p>
        </w:tc>
        <w:tc>
          <w:tcPr>
            <w:tcW w:w="397" w:type="pct"/>
            <w:vAlign w:val="center"/>
            <w:hideMark/>
          </w:tcPr>
          <w:p w14:paraId="60ECD82F" w14:textId="7777777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3</w:t>
            </w:r>
          </w:p>
        </w:tc>
      </w:tr>
      <w:tr w:rsidR="00A87B08" w:rsidRPr="002E5315" w14:paraId="5890FB42" w14:textId="77777777" w:rsidTr="00217E3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hideMark/>
          </w:tcPr>
          <w:p w14:paraId="0427DDBE" w14:textId="77777777"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presuda kojom se odbija žalba okrivljenika</w:t>
            </w:r>
          </w:p>
        </w:tc>
        <w:tc>
          <w:tcPr>
            <w:tcW w:w="367" w:type="pct"/>
            <w:gridSpan w:val="2"/>
            <w:vAlign w:val="center"/>
            <w:hideMark/>
          </w:tcPr>
          <w:p w14:paraId="0872725B"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2999C69B"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hideMark/>
          </w:tcPr>
          <w:p w14:paraId="0B64EEF8"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3A305E96"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hideMark/>
          </w:tcPr>
          <w:p w14:paraId="6CA966B3"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vAlign w:val="center"/>
            <w:hideMark/>
          </w:tcPr>
          <w:p w14:paraId="39D5C26F" w14:textId="7777777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r>
      <w:tr w:rsidR="00A87B08" w:rsidRPr="002E5315" w14:paraId="35A1EB3E" w14:textId="77777777" w:rsidTr="00217E30">
        <w:trPr>
          <w:trHeight w:val="284"/>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tcPr>
          <w:p w14:paraId="4A745F45" w14:textId="31499901"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presuda kojom se prihvaća žalba na odluku prek. suda</w:t>
            </w:r>
          </w:p>
        </w:tc>
        <w:tc>
          <w:tcPr>
            <w:tcW w:w="367" w:type="pct"/>
            <w:gridSpan w:val="2"/>
            <w:vAlign w:val="center"/>
          </w:tcPr>
          <w:p w14:paraId="6D77C4B0" w14:textId="74BE20F6"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26C17FFC" w14:textId="3D03841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tcPr>
          <w:p w14:paraId="6857BDB0" w14:textId="4AEF309C"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0914EC4C" w14:textId="5528AABC"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02B9CD8B" w14:textId="142AD4E0"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vAlign w:val="center"/>
          </w:tcPr>
          <w:p w14:paraId="2D0F0E3C" w14:textId="4A356267"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r>
      <w:tr w:rsidR="00A87B08" w:rsidRPr="002E5315" w14:paraId="6780B782" w14:textId="77777777" w:rsidTr="00217E3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tcPr>
          <w:p w14:paraId="4D66B1FB" w14:textId="7D0CD8C3"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rješenje odbacuje se žalba kao nedopuštena</w:t>
            </w:r>
          </w:p>
        </w:tc>
        <w:tc>
          <w:tcPr>
            <w:tcW w:w="367" w:type="pct"/>
            <w:gridSpan w:val="2"/>
            <w:vAlign w:val="center"/>
          </w:tcPr>
          <w:p w14:paraId="77C6D780" w14:textId="70E4BEC0"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22464A3B" w14:textId="1276CD2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tcPr>
          <w:p w14:paraId="7D9A6F4E" w14:textId="72A91F51"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28ACF42E" w14:textId="5D235192"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0E205178" w14:textId="2EFD44A7"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c>
          <w:tcPr>
            <w:tcW w:w="397" w:type="pct"/>
            <w:vAlign w:val="center"/>
          </w:tcPr>
          <w:p w14:paraId="08E22A62" w14:textId="453F82C0" w:rsidR="00A87B08" w:rsidRPr="002E5315" w:rsidRDefault="00A87B08" w:rsidP="00A87B08">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r>
      <w:tr w:rsidR="00A87B08" w:rsidRPr="002E5315" w14:paraId="52B2FEF0" w14:textId="77777777" w:rsidTr="00217E30">
        <w:trPr>
          <w:trHeight w:val="284"/>
          <w:jc w:val="center"/>
        </w:trPr>
        <w:tc>
          <w:tcPr>
            <w:cnfStyle w:val="001000000000" w:firstRow="0" w:lastRow="0" w:firstColumn="1" w:lastColumn="0" w:oddVBand="0" w:evenVBand="0" w:oddHBand="0" w:evenHBand="0" w:firstRowFirstColumn="0" w:firstRowLastColumn="0" w:lastRowFirstColumn="0" w:lastRowLastColumn="0"/>
            <w:tcW w:w="2512" w:type="pct"/>
            <w:gridSpan w:val="2"/>
            <w:noWrap/>
            <w:vAlign w:val="center"/>
          </w:tcPr>
          <w:p w14:paraId="515591DE" w14:textId="3087CF8D" w:rsidR="00A87B08" w:rsidRPr="002E5315" w:rsidRDefault="00A87B08" w:rsidP="00A87B08">
            <w:pPr>
              <w:rPr>
                <w:rFonts w:cs="Calibri"/>
                <w:b w:val="0"/>
                <w:bCs w:val="0"/>
                <w:color w:val="000000"/>
                <w:sz w:val="20"/>
                <w:szCs w:val="20"/>
              </w:rPr>
            </w:pPr>
            <w:r w:rsidRPr="002E5315">
              <w:rPr>
                <w:rFonts w:cs="Calibri"/>
                <w:b w:val="0"/>
                <w:bCs w:val="0"/>
                <w:color w:val="000000"/>
                <w:sz w:val="20"/>
                <w:szCs w:val="20"/>
              </w:rPr>
              <w:t>presuda kojim se odbija žalba Povjerenika</w:t>
            </w:r>
          </w:p>
        </w:tc>
        <w:tc>
          <w:tcPr>
            <w:tcW w:w="367" w:type="pct"/>
            <w:gridSpan w:val="2"/>
            <w:vAlign w:val="center"/>
          </w:tcPr>
          <w:p w14:paraId="5AC9C98A" w14:textId="653218DB"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0A458F73" w14:textId="4DF07215"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534" w:type="pct"/>
            <w:gridSpan w:val="2"/>
            <w:noWrap/>
            <w:vAlign w:val="center"/>
          </w:tcPr>
          <w:p w14:paraId="299CD9DD" w14:textId="1C557862"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015EB7C6" w14:textId="15F7F888"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0</w:t>
            </w:r>
          </w:p>
        </w:tc>
        <w:tc>
          <w:tcPr>
            <w:tcW w:w="397" w:type="pct"/>
            <w:gridSpan w:val="2"/>
            <w:vAlign w:val="center"/>
          </w:tcPr>
          <w:p w14:paraId="29BCDB28" w14:textId="65064455"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2</w:t>
            </w:r>
          </w:p>
        </w:tc>
        <w:tc>
          <w:tcPr>
            <w:tcW w:w="397" w:type="pct"/>
            <w:vAlign w:val="center"/>
          </w:tcPr>
          <w:p w14:paraId="4D305829" w14:textId="3C78634C" w:rsidR="00A87B08" w:rsidRPr="002E5315" w:rsidRDefault="00A87B08" w:rsidP="00A87B08">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1</w:t>
            </w:r>
          </w:p>
        </w:tc>
      </w:tr>
    </w:tbl>
    <w:p w14:paraId="6C4E21DD" w14:textId="0BB25172" w:rsidR="00361CEF" w:rsidRPr="002E5315" w:rsidRDefault="00361CEF" w:rsidP="00A87B08">
      <w:pPr>
        <w:pStyle w:val="Naslov2"/>
      </w:pPr>
      <w:bookmarkStart w:id="57" w:name="_Toc36308959"/>
      <w:r w:rsidRPr="002E5315">
        <w:t>Učinkovitost i doseg sankcioniranja</w:t>
      </w:r>
      <w:bookmarkEnd w:id="57"/>
    </w:p>
    <w:p w14:paraId="07EB3F19" w14:textId="77777777" w:rsidR="00633D93" w:rsidRDefault="00B17BD6" w:rsidP="00B17BD6">
      <w:pPr>
        <w:rPr>
          <w:szCs w:val="23"/>
        </w:rPr>
      </w:pPr>
      <w:r w:rsidRPr="002E5315">
        <w:rPr>
          <w:rFonts w:cs="Calibri"/>
          <w:szCs w:val="23"/>
        </w:rPr>
        <w:t xml:space="preserve">Iz opisanih podataka i primjera i dalje se, kao i u prethodnom razdoblju, ističe problem ograničenih mogućnosti i svrhovitosti sankcioniranja. </w:t>
      </w:r>
      <w:r w:rsidRPr="002E5315">
        <w:rPr>
          <w:szCs w:val="23"/>
        </w:rPr>
        <w:t>Na učinkovitost sankcioniranja utječe i dugotrajnost postupaka na nekim prekršajnim sudovima ili žalbe pred Visokim prekršajnim sudom RH, pri čemu dolazi do apsolutne zastare prekršajnog postupka i u onim slučajevima kada je Visoki prekršajni sud RH prihvatio žalbu Povjerenika protiv odluka prvostupanjskih sudova</w:t>
      </w:r>
      <w:r w:rsidR="00633D93">
        <w:rPr>
          <w:szCs w:val="23"/>
        </w:rPr>
        <w:t>.</w:t>
      </w:r>
    </w:p>
    <w:p w14:paraId="59986B7A" w14:textId="708DB87B" w:rsidR="00B17BD6" w:rsidRPr="002E5315" w:rsidRDefault="00B17BD6" w:rsidP="00B17BD6">
      <w:pPr>
        <w:rPr>
          <w:szCs w:val="23"/>
        </w:rPr>
      </w:pPr>
      <w:r w:rsidRPr="002E5315">
        <w:rPr>
          <w:rFonts w:cs="Calibri"/>
          <w:szCs w:val="23"/>
        </w:rPr>
        <w:t>Tijekom 2019. Povjerenik je unatoč određenim nedostacima u prekršajnim postupcima koji slabe učinkovitost, podnosio više prekršajnih naloga, a sa izmjenama i dopunama Prekršajnog zakona, otvoren je prostor učinkovitijem sankcioniranju odgovornih osoba u tijelu javne vlasti.</w:t>
      </w:r>
    </w:p>
    <w:p w14:paraId="66D07E35" w14:textId="67869BA8" w:rsidR="00C936FB" w:rsidRPr="002E5315" w:rsidRDefault="00B17BD6" w:rsidP="00C936FB">
      <w:pPr>
        <w:rPr>
          <w:rFonts w:cs="Calibri"/>
          <w:szCs w:val="23"/>
        </w:rPr>
      </w:pPr>
      <w:r w:rsidRPr="002E5315">
        <w:rPr>
          <w:rFonts w:cs="Calibri"/>
          <w:szCs w:val="23"/>
        </w:rPr>
        <w:t>Kao i u prethodnim izvješćima, naglašava se potreba razmatranja mogućnosti vraćanja osnove za prekršajno kažnjavanje tijela javne vlasti, s obzirom da je izmjenama ZPPI-ja iz 2015. učinjen korak unazad u odredbama o prekršajima, jer se upravo financijsko kažnjavanje tijela zbog kršenja zakona može smatrati efikasnijim načinom sankcioniranja. Činjenica da se protiv istih optuženika višekratno pokreće postupak zbog povrede ZPPI-ja, ukazuje da individualno kažnjavanje nema automatsku prednost s obzirom na efikasnost te da bi novčano kažnjavanje tijela moglo biti učinkovitije, budući da bi tijela morala postupati po obavijesti o namjeri pokretanja prekršajnog postupka, a čelnici tijela bi prilikom podnošenja financijskih izvješća morali objasniti građanima razloge trošenja javnih sredstava zbog kršenja zakona kojim se uređuje ustavno pravo građana na informacije. Osim toga, čelnici tijela mijenjaju se te se prekršajnim kažnjavanjem osobe koja više nije na funkciji gubi svrha sankcioniranja</w:t>
      </w:r>
      <w:r w:rsidR="00361CEF" w:rsidRPr="002E5315">
        <w:rPr>
          <w:rFonts w:cs="Calibri"/>
          <w:szCs w:val="23"/>
        </w:rPr>
        <w:t>.</w:t>
      </w:r>
    </w:p>
    <w:p w14:paraId="4C199F31" w14:textId="77777777" w:rsidR="00B17BD6" w:rsidRPr="002E5315" w:rsidRDefault="00B17BD6" w:rsidP="00B17BD6">
      <w:pPr>
        <w:contextualSpacing/>
        <w:jc w:val="center"/>
        <w:rPr>
          <w:szCs w:val="23"/>
        </w:rPr>
      </w:pPr>
    </w:p>
    <w:p w14:paraId="30C2022B" w14:textId="320E6528" w:rsidR="00B17BD6" w:rsidRPr="002E5315" w:rsidRDefault="00B17BD6" w:rsidP="00C936FB">
      <w:pPr>
        <w:contextualSpacing/>
        <w:jc w:val="center"/>
        <w:rPr>
          <w:szCs w:val="23"/>
        </w:rPr>
      </w:pPr>
      <w:r w:rsidRPr="002E5315">
        <w:rPr>
          <w:szCs w:val="23"/>
        </w:rPr>
        <w:t>***</w:t>
      </w:r>
    </w:p>
    <w:p w14:paraId="36A9FC8C" w14:textId="11A28B55" w:rsidR="00B17BD6" w:rsidRPr="002E5315" w:rsidRDefault="00B17BD6" w:rsidP="00B17BD6">
      <w:pPr>
        <w:spacing w:after="200"/>
        <w:rPr>
          <w:bCs/>
          <w:szCs w:val="23"/>
        </w:rPr>
      </w:pPr>
      <w:r w:rsidRPr="002E5315">
        <w:rPr>
          <w:bCs/>
          <w:szCs w:val="23"/>
        </w:rPr>
        <w:t>U rješavanju zahtjeva za pristup informacijama tijela javne vlasti u pravilu, i uz relativno kratke rokove za postupanje, rješavaju veliku većinu</w:t>
      </w:r>
      <w:r w:rsidR="00954DB8" w:rsidRPr="002E5315">
        <w:rPr>
          <w:bCs/>
          <w:szCs w:val="23"/>
        </w:rPr>
        <w:t xml:space="preserve"> </w:t>
      </w:r>
      <w:r w:rsidRPr="002E5315">
        <w:rPr>
          <w:bCs/>
          <w:szCs w:val="23"/>
        </w:rPr>
        <w:t>zahtjeva. No, analiza žalbenog postupka, predstavki korisnika kao i nalazi inspekcijskog nadzora ukazuju na i dalje iznimno zabrinjavajuću činjenicu prečestog ignoriranja zahtjeva korisnika za pristup informacijama ili traženje procesnih razloga da se onemogući ili odgodi pristup informaciji. Stoga to ostaje jednim od najznačajnijih problema u primjeni Zakona. Treba istaći i kontinuitet povećanja broja zahtjeva istog ili istih korisnika, koji dodatno otežava poziciju tijela, Povjerenika i Visokog upravnog suda RH, koji u postojećem pravnom okviru nemaju odgovarajući odgovor na znatno povećan broj žalbi ili tužbi.</w:t>
      </w:r>
    </w:p>
    <w:p w14:paraId="324A60A0" w14:textId="77777777" w:rsidR="00B17BD6" w:rsidRPr="002E5315" w:rsidRDefault="00B17BD6" w:rsidP="00B17BD6">
      <w:pPr>
        <w:spacing w:after="200"/>
        <w:rPr>
          <w:bCs/>
          <w:szCs w:val="23"/>
        </w:rPr>
      </w:pPr>
      <w:r w:rsidRPr="002E5315">
        <w:rPr>
          <w:bCs/>
          <w:szCs w:val="23"/>
        </w:rPr>
        <w:t>I promjena pravnih stajališta Visokog upravnog suda RH o primjeni pojedinih zakonskih odredbi u izvještajnom razdoblju imala je utjecaj na postupanje Povjerenika, a time i tijela javne vlasti.</w:t>
      </w:r>
    </w:p>
    <w:p w14:paraId="031656B2" w14:textId="6A69A4D4" w:rsidR="00217E30" w:rsidRPr="002E5315" w:rsidRDefault="00B17BD6" w:rsidP="00F6442D">
      <w:pPr>
        <w:rPr>
          <w:b/>
          <w:sz w:val="22"/>
          <w:szCs w:val="22"/>
        </w:rPr>
      </w:pPr>
      <w:r w:rsidRPr="002E5315">
        <w:lastRenderedPageBreak/>
        <w:t>Stoga se, radi usklađene i stabilizirane primjene Zakona pokazuje nužnim ukloniti nejasnoće i slabosti postojećeg zakonskog okvira na koje su ukazala tijela, Povjerenik i Visoki upravni sud RH. Noveliranjem temeljnog propisa, planiranom u 2020. i 2021. osigurala bi se bitno bolja razina ostvarivanja prava i zaštite prava korisnika, preciznije definirale obveze tijela javne vlasti te ojačalo izvršavanje odluka Povjerenika.</w:t>
      </w:r>
    </w:p>
    <w:p w14:paraId="4BA88E07" w14:textId="77777777" w:rsidR="00B17BD6" w:rsidRPr="002E5315" w:rsidRDefault="00B17BD6">
      <w:pPr>
        <w:spacing w:after="0" w:line="240" w:lineRule="auto"/>
        <w:jc w:val="left"/>
        <w:rPr>
          <w:rFonts w:eastAsia="Calibri"/>
          <w:b/>
          <w:bCs/>
          <w:kern w:val="32"/>
          <w:sz w:val="28"/>
          <w:szCs w:val="32"/>
        </w:rPr>
      </w:pPr>
      <w:r w:rsidRPr="002E5315">
        <w:br w:type="page"/>
      </w:r>
    </w:p>
    <w:p w14:paraId="2AFFA6D9" w14:textId="0A7F2B30" w:rsidR="006A077A" w:rsidRPr="002E5315" w:rsidRDefault="00217E30" w:rsidP="00217E30">
      <w:pPr>
        <w:pStyle w:val="Naslov1"/>
        <w:numPr>
          <w:ilvl w:val="0"/>
          <w:numId w:val="0"/>
        </w:numPr>
        <w:jc w:val="left"/>
      </w:pPr>
      <w:bookmarkStart w:id="58" w:name="_Toc36308960"/>
      <w:r w:rsidRPr="002E5315">
        <w:lastRenderedPageBreak/>
        <w:t xml:space="preserve">B) </w:t>
      </w:r>
      <w:r w:rsidR="006A077A" w:rsidRPr="002E5315">
        <w:t>PRAĆENJE I PROMICANJE PRAVA NA PRISTUP</w:t>
      </w:r>
      <w:r w:rsidRPr="002E5315">
        <w:t xml:space="preserve"> </w:t>
      </w:r>
      <w:r w:rsidR="006A077A" w:rsidRPr="002E5315">
        <w:t>INFORMACIJAMA</w:t>
      </w:r>
      <w:bookmarkEnd w:id="58"/>
    </w:p>
    <w:p w14:paraId="4B1DFC05" w14:textId="75B320B5" w:rsidR="0085052B" w:rsidRPr="002E5315" w:rsidRDefault="0085052B" w:rsidP="0085052B">
      <w:pPr>
        <w:pStyle w:val="Naslov1"/>
      </w:pPr>
      <w:bookmarkStart w:id="59" w:name="_Toc36308961"/>
      <w:r w:rsidRPr="002E5315">
        <w:t>Proaktivna objava informacija i javnost rada tijela javne vlasti</w:t>
      </w:r>
      <w:bookmarkEnd w:id="59"/>
      <w:r w:rsidRPr="002E5315">
        <w:t xml:space="preserve"> </w:t>
      </w:r>
    </w:p>
    <w:p w14:paraId="585A2235" w14:textId="3346BFF3" w:rsidR="0085052B" w:rsidRPr="002E5315" w:rsidRDefault="0085052B" w:rsidP="0085052B">
      <w:pPr>
        <w:pStyle w:val="Naslov2"/>
      </w:pPr>
      <w:bookmarkStart w:id="60" w:name="_Toc36308962"/>
      <w:r w:rsidRPr="002E5315">
        <w:t>Proaktivna objava informacija</w:t>
      </w:r>
      <w:bookmarkEnd w:id="60"/>
      <w:r w:rsidRPr="002E5315">
        <w:t xml:space="preserve"> </w:t>
      </w:r>
    </w:p>
    <w:p w14:paraId="46A9A759" w14:textId="77777777" w:rsidR="00633D93" w:rsidRDefault="00434B06" w:rsidP="00434B06">
      <w:pPr>
        <w:rPr>
          <w:rFonts w:cs="Calibri"/>
          <w:color w:val="000000"/>
          <w:szCs w:val="23"/>
        </w:rPr>
      </w:pPr>
      <w:bookmarkStart w:id="61" w:name="_Hlk34898599"/>
      <w:r w:rsidRPr="002E5315">
        <w:rPr>
          <w:rFonts w:cs="Calibri"/>
          <w:color w:val="000000"/>
          <w:szCs w:val="23"/>
        </w:rPr>
        <w:t xml:space="preserve">Proaktivna objava informacija javnog karaktera na internetskim stranicama tijela javne vlasti predstavlja ključan način informiranja javnosti i osiguravanja transparentnosti u suvremenom društvu te alat demokratske kontrole putem kojeg građani mogu pratiti rad i financiranje tijela te se uključiti u procese odlučivanja. </w:t>
      </w:r>
      <w:bookmarkEnd w:id="61"/>
      <w:r w:rsidRPr="002E5315">
        <w:rPr>
          <w:rFonts w:cs="Calibri"/>
          <w:color w:val="000000"/>
          <w:szCs w:val="23"/>
        </w:rPr>
        <w:t>Riječ je o zakonskoj obvezi svih tijela da kontinuirano i samoinicijativno objavljuju dokumente i informacije propisane člankom 10. ZPPI-ja, s ciljem da se učine lako dostupnima i pristupačnima općoj javnosti</w:t>
      </w:r>
      <w:r w:rsidR="00633D93">
        <w:rPr>
          <w:rFonts w:cs="Calibri"/>
          <w:color w:val="000000"/>
          <w:szCs w:val="23"/>
        </w:rPr>
        <w:t>.</w:t>
      </w:r>
    </w:p>
    <w:p w14:paraId="28C354DA" w14:textId="77777777" w:rsidR="00633D93" w:rsidRDefault="00434B06" w:rsidP="00434B06">
      <w:pPr>
        <w:rPr>
          <w:rFonts w:cs="Calibri"/>
          <w:szCs w:val="23"/>
        </w:rPr>
      </w:pPr>
      <w:r w:rsidRPr="002E5315">
        <w:rPr>
          <w:rFonts w:cs="Calibri"/>
          <w:color w:val="000000"/>
          <w:szCs w:val="23"/>
        </w:rPr>
        <w:t xml:space="preserve">Uvidom u Popis tijela javne vlasti, utvrđeno je da </w:t>
      </w:r>
      <w:r w:rsidRPr="002E5315">
        <w:rPr>
          <w:rFonts w:cs="Calibri"/>
          <w:b/>
          <w:szCs w:val="23"/>
        </w:rPr>
        <w:t>737 ili 12,7% od 5.808 tijela nema vlastitu internetsku stranicu</w:t>
      </w:r>
      <w:r w:rsidRPr="002E5315">
        <w:rPr>
          <w:rFonts w:cs="Calibri"/>
          <w:color w:val="000000"/>
          <w:szCs w:val="23"/>
        </w:rPr>
        <w:t xml:space="preserve">, niti objavljuje informacije na podstranici drugog tijela (koja su ih osnovala, u koja su udružena/učlanjena ili koja su im prenijela javne ovlasti), što predstavlja neznatno smanjenje u odnosu na 13,6% godinu ranije. Najveći broj otpada na vatrogasne zajednice i postrojbe (190), dječje vrtiće (114) i veterinarske ambulante (86), komunalna i vodovodna trgovačka društva u vlasništvu JLP(R)S (80), društva Crvenog križa (59), knjižnice (47), kao i na </w:t>
      </w:r>
      <w:r w:rsidRPr="002E5315">
        <w:rPr>
          <w:rFonts w:cs="Calibri"/>
          <w:szCs w:val="23"/>
        </w:rPr>
        <w:t>domove za starije i nemoćne, različite centre i druge ustanove, trgovačka društva, turističke zajednice i dr</w:t>
      </w:r>
      <w:r w:rsidR="00633D93">
        <w:rPr>
          <w:rFonts w:cs="Calibri"/>
          <w:szCs w:val="23"/>
        </w:rPr>
        <w:t>.</w:t>
      </w:r>
    </w:p>
    <w:p w14:paraId="754BC4CD" w14:textId="7585CAD5" w:rsidR="00434B06" w:rsidRPr="002E5315" w:rsidRDefault="00434B06" w:rsidP="00434B06">
      <w:pPr>
        <w:rPr>
          <w:rFonts w:cs="Calibri"/>
          <w:color w:val="000000"/>
          <w:szCs w:val="23"/>
        </w:rPr>
      </w:pPr>
      <w:r w:rsidRPr="002E5315">
        <w:rPr>
          <w:rFonts w:cs="Calibri"/>
          <w:szCs w:val="23"/>
        </w:rPr>
        <w:t>Stoga je Povjerenik dao preporuku da, dok se ne steknu uvjete za pokretanje vlastite internetske stranice, navedena tijela, u suradnji</w:t>
      </w:r>
      <w:r w:rsidRPr="002E5315">
        <w:rPr>
          <w:rFonts w:cs="Calibri"/>
          <w:color w:val="000000"/>
          <w:szCs w:val="23"/>
        </w:rPr>
        <w:t xml:space="preserve"> i dogovoru s tijelima koja su ih osnovala ili koja su im prenijela javne ovlasti ili u koja su udružena/učlanjena, objavljuju informacije propisane člankom 10. na podstranicama njihovih internetskih stranica.</w:t>
      </w:r>
    </w:p>
    <w:p w14:paraId="76C9D691" w14:textId="77777777" w:rsidR="00434B06" w:rsidRPr="002E5315" w:rsidRDefault="00434B06" w:rsidP="00434B06">
      <w:pPr>
        <w:rPr>
          <w:rFonts w:cs="Calibri"/>
          <w:color w:val="000000"/>
          <w:szCs w:val="23"/>
        </w:rPr>
      </w:pPr>
      <w:r w:rsidRPr="002E5315">
        <w:rPr>
          <w:rFonts w:cs="Calibri"/>
          <w:color w:val="000000"/>
          <w:szCs w:val="23"/>
        </w:rPr>
        <w:t>ZPPI taksativno navodi informacije koje tijela trebaju objavljivati na lako pretraživ način i u strojno čitljivom obliku: zakoni i ostali propisi (t.1.), opći akti i odluke (t.2.), nacrti akata za koje se provodi savjetovanje s javnošću (t.3.), planski i strateški dokumenti i izvješća (t.4.), popis skupova podataka te registri i baze pogodni za ponovnu uporabu (t.5.), informacije o javnim uslugama (t.6.), proračunski dokumenti (t.7.), popis korisnika bespovratnih sredstava s visinom iznosa (t.8.), informacije o javnoj nabavi (t.9.), o natječajnim postupcima i ishodima (t.10.), o unutarnjem ustrojstvu i kontakt podaci (t.11.), zaključci i dokumenti sa sjednica te informacije o formalnim radnim tijelima (t.12.), informacije vezane za ostvarivanje prava na pristup i ponovnu uporabu informacija (t.13.) te razne vijesti, obavijesti, informacije o načinu podnošenja upita itd. (t.14.).</w:t>
      </w:r>
    </w:p>
    <w:p w14:paraId="383980AC" w14:textId="4B7AC219" w:rsidR="00434B06" w:rsidRPr="002E5315" w:rsidRDefault="00434B06" w:rsidP="00434B06">
      <w:pPr>
        <w:rPr>
          <w:rFonts w:cs="Calibri"/>
          <w:color w:val="000000"/>
          <w:szCs w:val="23"/>
        </w:rPr>
      </w:pPr>
      <w:r w:rsidRPr="002E5315">
        <w:rPr>
          <w:rFonts w:cs="Calibri"/>
          <w:szCs w:val="23"/>
        </w:rPr>
        <w:t>Pravilno ispunjavanje ove obveze učinkovitije je i ekonomičnije od podnošenja pojedinačnih zahtjeva za pristup informacijama. Korisnicima štedi vrijeme, novac i trud</w:t>
      </w:r>
      <w:r w:rsidR="00954DB8" w:rsidRPr="002E5315">
        <w:rPr>
          <w:rFonts w:cs="Calibri"/>
          <w:szCs w:val="23"/>
        </w:rPr>
        <w:t xml:space="preserve"> </w:t>
      </w:r>
      <w:r w:rsidRPr="002E5315">
        <w:rPr>
          <w:rFonts w:cs="Calibri"/>
          <w:szCs w:val="23"/>
        </w:rPr>
        <w:t xml:space="preserve">te osigurava njihovu </w:t>
      </w:r>
      <w:r w:rsidRPr="002E5315">
        <w:rPr>
          <w:rFonts w:cs="Calibri"/>
          <w:color w:val="000000"/>
          <w:szCs w:val="23"/>
        </w:rPr>
        <w:t>jednakost, a objava većeg broja informacija smanjuje potrebu podnošenja i administriranja zahtjeva za pristup informacijama, što štedi vrijeme i resurse tijela javne vlasti, odnosno službenika za informiranje.</w:t>
      </w:r>
    </w:p>
    <w:p w14:paraId="1B4C9742" w14:textId="77777777" w:rsidR="00633D93" w:rsidRDefault="00434B06" w:rsidP="00434B06">
      <w:pPr>
        <w:rPr>
          <w:rFonts w:cs="Calibri"/>
          <w:color w:val="000000"/>
          <w:szCs w:val="23"/>
        </w:rPr>
      </w:pPr>
      <w:r w:rsidRPr="002E5315">
        <w:rPr>
          <w:rFonts w:cs="Calibri"/>
          <w:color w:val="000000"/>
          <w:szCs w:val="23"/>
        </w:rPr>
        <w:lastRenderedPageBreak/>
        <w:t>S obzirom na neprimjenjivost pojedinih odredbi članka 10. na određene kategorije tijela javne vlasti (primjerice, tijela koja nisu obveznici provedbe Zakona o javnoj nabavi, koja ne provode savjetovanja, koja ne dodjeljuju sponzorstva i donacije, koja nemaju formalna, odnosno kolegijalna radna tijela te na sjednicama ne usvajaju odluke kojima se utječe na interese javnosti), Povjerenik je ranijih godina donio četiri upute i smjernice za provedbu navedenog članka (za cjeloviti članak 10., za objavu proračunskih dokumenata i izvješća u otvorenom obliku, informacija o unutarnjem ustrojstvu i o pravu na pristup i ponovnu uporabu informacija)</w:t>
      </w:r>
      <w:r w:rsidR="00633D93">
        <w:rPr>
          <w:rFonts w:cs="Calibri"/>
          <w:color w:val="000000"/>
          <w:szCs w:val="23"/>
        </w:rPr>
        <w:t>.</w:t>
      </w:r>
    </w:p>
    <w:p w14:paraId="2A2309BA" w14:textId="689AF241" w:rsidR="0085052B" w:rsidRPr="002E5315" w:rsidRDefault="00434B06" w:rsidP="00434B06">
      <w:pPr>
        <w:rPr>
          <w:strike/>
          <w:color w:val="000000"/>
          <w:szCs w:val="23"/>
        </w:rPr>
      </w:pPr>
      <w:r w:rsidRPr="002E5315">
        <w:rPr>
          <w:rFonts w:cs="Calibri"/>
          <w:iCs/>
          <w:szCs w:val="23"/>
        </w:rPr>
        <w:t>Tijekom 2019. donio je još dvije dodatne upute – o proaktivnoj objavi tijela koja nemaju službenu internetsku stranicu i o objavi zakona i ostalih propisa koji se odnose na područje rada tijela javne vlasti</w:t>
      </w:r>
      <w:r w:rsidR="0085052B" w:rsidRPr="002E5315">
        <w:rPr>
          <w:color w:val="000000"/>
          <w:szCs w:val="23"/>
        </w:rPr>
        <w:t>.</w:t>
      </w:r>
    </w:p>
    <w:p w14:paraId="1D38E862" w14:textId="6DAF8C9E" w:rsidR="0085052B" w:rsidRPr="002E5315" w:rsidRDefault="0085052B" w:rsidP="0085052B">
      <w:pPr>
        <w:pStyle w:val="Naslov2"/>
      </w:pPr>
      <w:bookmarkStart w:id="62" w:name="_Toc36308963"/>
      <w:r w:rsidRPr="002E5315">
        <w:t>Javnost rada kolegijalnih tijela</w:t>
      </w:r>
      <w:bookmarkEnd w:id="62"/>
    </w:p>
    <w:p w14:paraId="587DD7B8" w14:textId="77777777" w:rsidR="00434B06" w:rsidRPr="002E5315" w:rsidRDefault="00434B06" w:rsidP="00434B06">
      <w:pPr>
        <w:rPr>
          <w:rFonts w:cs="Calibri"/>
          <w:szCs w:val="23"/>
        </w:rPr>
      </w:pPr>
      <w:r w:rsidRPr="002E5315">
        <w:rPr>
          <w:rFonts w:cs="Calibri"/>
          <w:szCs w:val="23"/>
        </w:rPr>
        <w:t>Što se tiče obveze osiguravanja javnosti rada (članak 12. i točka 12. članka 10.) sa svrhom omogućavanja kontrole rada i jačanje odgovornosti tijela, ista nalaže tijelima da i</w:t>
      </w:r>
      <w:r w:rsidRPr="002E5315">
        <w:rPr>
          <w:rFonts w:cs="Gill Sans MT"/>
          <w:szCs w:val="23"/>
        </w:rPr>
        <w:t>nformiraju javnost o vremenu održavanja i dnevnom redu zasjedanja službenih tijela, načinu</w:t>
      </w:r>
      <w:r w:rsidRPr="002E5315">
        <w:rPr>
          <w:rFonts w:cs="Calibri"/>
          <w:szCs w:val="23"/>
        </w:rPr>
        <w:t xml:space="preserve"> njihova rada te mogućnostima neposrednog uvida u njihov rad, </w:t>
      </w:r>
      <w:r w:rsidRPr="002E5315">
        <w:rPr>
          <w:rFonts w:cs="Gill Sans MT"/>
          <w:szCs w:val="23"/>
        </w:rPr>
        <w:t>broju osoba kojima se mož</w:t>
      </w:r>
      <w:r w:rsidRPr="002E5315">
        <w:rPr>
          <w:rFonts w:cs="Calibri"/>
          <w:szCs w:val="23"/>
        </w:rPr>
        <w:t>e istodobno osigurati neposredan uvid u rad tijela javne vlasti, da objavljuju zaključke sa sjednica, dokumente usvojene na njima te informacije o formalnim radnim tijelima iz njihove nadležnosti na kojima se odlučuje o pravima i interesima korisnika.</w:t>
      </w:r>
    </w:p>
    <w:p w14:paraId="740F3322" w14:textId="77777777" w:rsidR="00633D93" w:rsidRDefault="00434B06" w:rsidP="00434B06">
      <w:pPr>
        <w:rPr>
          <w:bCs/>
          <w:szCs w:val="23"/>
        </w:rPr>
      </w:pPr>
      <w:r w:rsidRPr="002E5315">
        <w:rPr>
          <w:rFonts w:cs="Calibri"/>
          <w:szCs w:val="23"/>
        </w:rPr>
        <w:t xml:space="preserve">U dosadašnjem radu, uočeno je da tijela učestalo pokazuju nerazumijevanje navedene zakonske odredbe, poglavito trgovačka društva, koja se kod razloga za neobjavljivanje zaključaka i drugih informacija vezanih za sjednice skupštine, nadzornog odbora i drugih kolegijalnih tijela, pozivaju na poslovnu tajnu ili zaštitu osobnih podataka. </w:t>
      </w:r>
      <w:r w:rsidRPr="002E5315">
        <w:rPr>
          <w:rFonts w:cs="Calibri"/>
          <w:bCs/>
          <w:iCs/>
          <w:szCs w:val="23"/>
        </w:rPr>
        <w:t>Povjerenik je u 2019. upravo trgovačkim društvima dao načelne smjernice o obvezi objave zaključaka sa sjednica nadzornih odbora</w:t>
      </w:r>
      <w:r w:rsidRPr="002E5315">
        <w:rPr>
          <w:rFonts w:cs="Calibri"/>
          <w:bCs/>
          <w:szCs w:val="23"/>
        </w:rPr>
        <w:t>,</w:t>
      </w:r>
      <w:r w:rsidRPr="002E5315">
        <w:rPr>
          <w:rFonts w:cs="Calibri"/>
          <w:szCs w:val="23"/>
        </w:rPr>
        <w:t xml:space="preserve"> zbog velikog broja zahtjeva za pristup zapisnicima koje je jedan korisnik uputio trgovačkim društvima. Ujedno,</w:t>
      </w:r>
      <w:r w:rsidR="00954DB8" w:rsidRPr="002E5315">
        <w:rPr>
          <w:rFonts w:cs="Calibri"/>
          <w:szCs w:val="23"/>
        </w:rPr>
        <w:t xml:space="preserve"> </w:t>
      </w:r>
      <w:r w:rsidRPr="002E5315">
        <w:rPr>
          <w:rFonts w:cs="Calibri"/>
          <w:szCs w:val="23"/>
        </w:rPr>
        <w:t>vezano uz upite o javnosti rada škola, Povjerenik je već ranije zauzeo stajalište, a o kojem su pojedine školske ustanove ponovo obaviještene,</w:t>
      </w:r>
      <w:r w:rsidR="00954DB8" w:rsidRPr="002E5315">
        <w:rPr>
          <w:rFonts w:cs="Calibri"/>
          <w:szCs w:val="23"/>
        </w:rPr>
        <w:t xml:space="preserve"> </w:t>
      </w:r>
      <w:r w:rsidRPr="002E5315">
        <w:rPr>
          <w:rFonts w:cs="Calibri"/>
          <w:szCs w:val="23"/>
        </w:rPr>
        <w:t xml:space="preserve">da </w:t>
      </w:r>
      <w:r w:rsidRPr="002E5315">
        <w:rPr>
          <w:bCs/>
          <w:szCs w:val="23"/>
        </w:rPr>
        <w:t>djelokrug rada stručnih tijela škola (razrednih, nastavničkih i učiteljskih vijeća) nije obuhvaćen obvezom proaktivne objave, jer se na njima ne odlučuje o pitanjima značajnim za javnost, dok se zaključci sa sjednica školskog odbora kao upravljačkog tijela trebaju objavljivati na internetskim stranicama</w:t>
      </w:r>
      <w:r w:rsidR="00633D93">
        <w:rPr>
          <w:bCs/>
          <w:szCs w:val="23"/>
        </w:rPr>
        <w:t>.</w:t>
      </w:r>
    </w:p>
    <w:p w14:paraId="4566EABC" w14:textId="64538B2D" w:rsidR="00434B06" w:rsidRPr="002E5315" w:rsidRDefault="00434B06" w:rsidP="00434B06">
      <w:pPr>
        <w:rPr>
          <w:bCs/>
          <w:szCs w:val="23"/>
        </w:rPr>
      </w:pPr>
      <w:r w:rsidRPr="002E5315">
        <w:rPr>
          <w:bCs/>
          <w:szCs w:val="23"/>
        </w:rPr>
        <w:t xml:space="preserve">Zbog uočenih nedostataka u postupanju JLP(R)S-ova glede objave informacija potrebnih za osiguravanje javnosti rada, Povjerenik je u 2019. </w:t>
      </w:r>
      <w:r w:rsidRPr="002E5315">
        <w:rPr>
          <w:iCs/>
          <w:szCs w:val="23"/>
        </w:rPr>
        <w:t>donio dodatne smjernice za proaktivnu/pravovremenu objavu dnevnih redova sjednica i zaključaka/zapisnika te mogućnosti prisustvovanja na njima</w:t>
      </w:r>
      <w:r w:rsidRPr="002E5315">
        <w:rPr>
          <w:bCs/>
          <w:iCs/>
          <w:szCs w:val="23"/>
        </w:rPr>
        <w:t>.</w:t>
      </w:r>
      <w:r w:rsidRPr="002E5315">
        <w:rPr>
          <w:bCs/>
          <w:szCs w:val="23"/>
        </w:rPr>
        <w:t xml:space="preserve"> U smjernicama je istaknuto da se dnevni redovi moraju objavljivati pravodobno, u primjerenom roku prije održavanja sjednice; da su tijela uz objavu statuta, poslovnika o radu, pravilnika ili drugog odgovarajućeg akta kojim se propisuje način rada na sjednicama, dužna objaviti obavijest o načinu omogućavanja neposrednog uvida u rad tijela, objavom procedure prijave i broja osoba koje mogu prisustvovati na sjednicama; da se zaključci moraju objavljivati pravovremeno, u razumnom roku nakon održane sjednice (promptna objava neverificiranog zapisnika, a nakon usvajanja zapisnika s prethodne sjednice, odmah po održavanju te sjednice objava verificiranog).</w:t>
      </w:r>
    </w:p>
    <w:p w14:paraId="34E1C1B8" w14:textId="0F88555E" w:rsidR="0085052B" w:rsidRPr="002E5315" w:rsidRDefault="00434B06" w:rsidP="00434B06">
      <w:pPr>
        <w:rPr>
          <w:rFonts w:cs="Calibri"/>
          <w:szCs w:val="23"/>
        </w:rPr>
      </w:pPr>
      <w:r w:rsidRPr="002E5315">
        <w:rPr>
          <w:rFonts w:cs="Calibri"/>
          <w:szCs w:val="23"/>
        </w:rPr>
        <w:lastRenderedPageBreak/>
        <w:t>Na probleme u ispunjenju obveza proaktivne objave i osiguravanja javnosti rada ukazali su i korisnici podnošenjem predstavki.</w:t>
      </w:r>
      <w:r w:rsidR="00954DB8" w:rsidRPr="002E5315">
        <w:rPr>
          <w:rFonts w:cs="Calibri"/>
          <w:szCs w:val="23"/>
        </w:rPr>
        <w:t xml:space="preserve"> </w:t>
      </w:r>
      <w:r w:rsidRPr="002E5315">
        <w:rPr>
          <w:rFonts w:cs="Calibri"/>
          <w:szCs w:val="23"/>
        </w:rPr>
        <w:t>Naime, od ukupno 252 predstavke zaprimljene tijekom 2019., 36 (14%) odnosilo se na proaktivnu objavu, a osam (3%) na javnost rada</w:t>
      </w:r>
      <w:r w:rsidR="0085052B" w:rsidRPr="002E5315">
        <w:rPr>
          <w:rFonts w:cs="Calibri"/>
          <w:szCs w:val="23"/>
        </w:rPr>
        <w:t>.</w:t>
      </w:r>
    </w:p>
    <w:p w14:paraId="53D18317" w14:textId="547CB769" w:rsidR="0085052B" w:rsidRPr="002E5315" w:rsidRDefault="0085052B" w:rsidP="0085052B">
      <w:pPr>
        <w:pStyle w:val="Naslov2"/>
      </w:pPr>
      <w:bookmarkStart w:id="63" w:name="_Toc36308964"/>
      <w:r w:rsidRPr="002E5315">
        <w:t>Proaktivna objava i javnost rada - podaci iz dostavljenih izvješća tijela javne vlasti</w:t>
      </w:r>
      <w:bookmarkEnd w:id="63"/>
    </w:p>
    <w:p w14:paraId="259EDA10" w14:textId="20A0F675" w:rsidR="00434B06" w:rsidRPr="002E5315" w:rsidRDefault="00434B06" w:rsidP="00434B06">
      <w:pPr>
        <w:rPr>
          <w:rFonts w:cs="Calibri"/>
          <w:szCs w:val="23"/>
        </w:rPr>
      </w:pPr>
      <w:r w:rsidRPr="002E5315">
        <w:rPr>
          <w:rFonts w:cs="Calibri"/>
          <w:szCs w:val="23"/>
        </w:rPr>
        <w:t>U godišnjem izvješću tijela javne vlasti trebala su odgovoriti na 34 pitanja o objavi propisanih informacija, a na koja su pored odgovora 'da' i 'ne', mogli u većini slučajeva odgovoriti i s 'djelomično' i 'nije primjenjivo'. Navedene opcije dodane su u odnosu na iskustva iz prethodne godine, s namjerom da dobiveni podaci budu što točniji, ali i da bi se uvidom u odgovore stekla slika o stvarnoj razini razumijevanja pojedinih obveza i odredbi o proaktivnoj objavi i javnosti rada.</w:t>
      </w:r>
    </w:p>
    <w:p w14:paraId="39D7122D" w14:textId="5A20716D" w:rsidR="0085052B" w:rsidRPr="002E5315" w:rsidRDefault="00434B06" w:rsidP="00434B06">
      <w:pPr>
        <w:rPr>
          <w:rFonts w:cs="Calibri"/>
          <w:szCs w:val="23"/>
        </w:rPr>
      </w:pPr>
      <w:r w:rsidRPr="002E5315">
        <w:rPr>
          <w:rFonts w:cs="Calibri"/>
          <w:szCs w:val="23"/>
        </w:rPr>
        <w:t>Navedeni dio podijeljen je u šest manjih cjelina, a u nastavku se prikazuju odgovori 4.985 tijela koja su dostavila izvješće po predmetnim cjelinama</w:t>
      </w:r>
      <w:r w:rsidR="0085052B" w:rsidRPr="002E5315">
        <w:rPr>
          <w:rFonts w:cs="Calibri"/>
          <w:szCs w:val="23"/>
        </w:rPr>
        <w:t>.</w:t>
      </w:r>
    </w:p>
    <w:p w14:paraId="151B19C7" w14:textId="64ED4F3C" w:rsidR="00553EBA" w:rsidRPr="002E5315" w:rsidRDefault="0085052B" w:rsidP="005B2C2F">
      <w:pPr>
        <w:pStyle w:val="Naslov3"/>
      </w:pPr>
      <w:bookmarkStart w:id="64" w:name="_Toc36308965"/>
      <w:r w:rsidRPr="002E5315">
        <w:t>Propisi, opći akti i odluke</w:t>
      </w:r>
      <w:bookmarkEnd w:id="64"/>
    </w:p>
    <w:p w14:paraId="20426745" w14:textId="68035192" w:rsidR="00553EBA" w:rsidRPr="002E5315" w:rsidRDefault="00553EBA" w:rsidP="00553EBA">
      <w:pPr>
        <w:keepNext/>
        <w:spacing w:before="240"/>
        <w:rPr>
          <w:sz w:val="20"/>
          <w:szCs w:val="20"/>
        </w:rPr>
      </w:pPr>
      <w:r w:rsidRPr="002E5315">
        <w:rPr>
          <w:sz w:val="20"/>
          <w:szCs w:val="20"/>
        </w:rPr>
        <w:t xml:space="preserve">Slika 7.1. Objava </w:t>
      </w:r>
      <w:r w:rsidR="005B2C2F" w:rsidRPr="002E5315">
        <w:rPr>
          <w:sz w:val="20"/>
          <w:szCs w:val="20"/>
        </w:rPr>
        <w:t>propisa, općih akata i odluka tijela javne vlasti</w:t>
      </w:r>
    </w:p>
    <w:p w14:paraId="783FF03F" w14:textId="77777777" w:rsidR="0085052B" w:rsidRPr="002E5315" w:rsidRDefault="0085052B" w:rsidP="0085052B">
      <w:pPr>
        <w:jc w:val="center"/>
        <w:rPr>
          <w:rFonts w:cs="Calibri"/>
          <w:b/>
          <w:szCs w:val="23"/>
        </w:rPr>
      </w:pPr>
      <w:r w:rsidRPr="002E5315">
        <w:rPr>
          <w:rFonts w:cs="Calibri"/>
          <w:b/>
          <w:noProof/>
          <w:szCs w:val="23"/>
        </w:rPr>
        <w:drawing>
          <wp:inline distT="0" distB="0" distL="0" distR="0" wp14:anchorId="54B0F4E7" wp14:editId="3559C3AC">
            <wp:extent cx="5286375" cy="3057525"/>
            <wp:effectExtent l="0" t="0" r="0" b="0"/>
            <wp:docPr id="16" name="Grafikon 3">
              <a:extLst xmlns:a="http://schemas.openxmlformats.org/drawingml/2006/main">
                <a:ext uri="{FF2B5EF4-FFF2-40B4-BE49-F238E27FC236}">
                  <a16:creationId xmlns:a16="http://schemas.microsoft.com/office/drawing/2014/main" id="{67975CEF-9857-44DF-87F8-A0FC4E738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E8E526" w14:textId="03DA9118" w:rsidR="0085052B" w:rsidRPr="002E5315" w:rsidRDefault="00434B06" w:rsidP="0085052B">
      <w:pPr>
        <w:rPr>
          <w:rFonts w:cs="Calibri"/>
          <w:szCs w:val="23"/>
        </w:rPr>
      </w:pPr>
      <w:r w:rsidRPr="002E5315">
        <w:rPr>
          <w:rFonts w:cs="Calibri"/>
          <w:szCs w:val="23"/>
        </w:rPr>
        <w:t xml:space="preserve">Iako je 77% tijela navelo da objavljuje navedene dokumente, i još 10% da to čini djelomično, </w:t>
      </w:r>
      <w:r w:rsidRPr="002E5315">
        <w:rPr>
          <w:rFonts w:cs="Calibri"/>
          <w:bCs/>
          <w:iCs/>
          <w:szCs w:val="23"/>
        </w:rPr>
        <w:t>postupanja Ureda povjerenika po predstavkama i provedba ciljanih analitičkih praćenja upućuju na bitno drugačiju situaciju u praksi, s izraženom niskom prosječnom razinom objave zakona i ostalih propisa te općih akata i odluka</w:t>
      </w:r>
      <w:r w:rsidRPr="002E5315">
        <w:rPr>
          <w:rFonts w:cs="Calibri"/>
          <w:szCs w:val="23"/>
        </w:rPr>
        <w:t>. Primjerice, kontinuiranim praćenjima JLP(R)S-ova utvrđeno je da jedinice smatraju da je objava akata u službenim glasilima dovoljna za ispunjenje obveze iz ZPPI-ja, međutim, glasila su u najvećem broju slučajeva nepretraživa i nepregledna</w:t>
      </w:r>
      <w:r w:rsidR="0085052B" w:rsidRPr="002E5315">
        <w:rPr>
          <w:rFonts w:cs="Calibri"/>
          <w:szCs w:val="23"/>
        </w:rPr>
        <w:t>.</w:t>
      </w:r>
    </w:p>
    <w:p w14:paraId="4688D9CE" w14:textId="66A35B6E" w:rsidR="00553EBA" w:rsidRPr="002E5315" w:rsidRDefault="0085052B" w:rsidP="005B2C2F">
      <w:pPr>
        <w:pStyle w:val="Naslov3"/>
      </w:pPr>
      <w:bookmarkStart w:id="65" w:name="_Toc36308966"/>
      <w:r w:rsidRPr="002E5315">
        <w:lastRenderedPageBreak/>
        <w:t>Planiranje i izvještavanje</w:t>
      </w:r>
      <w:bookmarkEnd w:id="65"/>
    </w:p>
    <w:p w14:paraId="545E012E" w14:textId="0EF5A994" w:rsidR="00553EBA" w:rsidRPr="002E5315" w:rsidRDefault="00553EBA" w:rsidP="00553EBA">
      <w:pPr>
        <w:keepNext/>
        <w:spacing w:before="240"/>
        <w:rPr>
          <w:sz w:val="20"/>
          <w:szCs w:val="20"/>
        </w:rPr>
      </w:pPr>
      <w:r w:rsidRPr="002E5315">
        <w:rPr>
          <w:sz w:val="20"/>
          <w:szCs w:val="20"/>
        </w:rPr>
        <w:t xml:space="preserve">Slika 7.2. Objava informacija </w:t>
      </w:r>
      <w:r w:rsidR="005B2C2F" w:rsidRPr="002E5315">
        <w:rPr>
          <w:sz w:val="20"/>
          <w:szCs w:val="20"/>
        </w:rPr>
        <w:t>o planiranju i izvještavanju tijela javne vlasti</w:t>
      </w:r>
    </w:p>
    <w:p w14:paraId="2185AA18" w14:textId="22D1F12F" w:rsidR="0085052B" w:rsidRPr="002E5315" w:rsidRDefault="0085052B" w:rsidP="003235DB">
      <w:pPr>
        <w:jc w:val="center"/>
        <w:rPr>
          <w:rFonts w:cs="Calibri"/>
          <w:b/>
          <w:szCs w:val="23"/>
        </w:rPr>
      </w:pPr>
      <w:r w:rsidRPr="002E5315">
        <w:rPr>
          <w:rFonts w:cs="Calibri"/>
          <w:b/>
          <w:noProof/>
          <w:szCs w:val="23"/>
        </w:rPr>
        <w:drawing>
          <wp:inline distT="0" distB="0" distL="0" distR="0" wp14:anchorId="35A458F8" wp14:editId="6A2ED8D7">
            <wp:extent cx="5781675" cy="5553075"/>
            <wp:effectExtent l="0" t="0" r="0" b="0"/>
            <wp:docPr id="9" name="Grafikon 4">
              <a:extLst xmlns:a="http://schemas.openxmlformats.org/drawingml/2006/main">
                <a:ext uri="{FF2B5EF4-FFF2-40B4-BE49-F238E27FC236}">
                  <a16:creationId xmlns:a16="http://schemas.microsoft.com/office/drawing/2014/main" id="{C6CA0721-C363-44F9-BB34-06310B9846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9C2C27" w14:textId="77777777" w:rsidR="00434B06" w:rsidRPr="002E5315" w:rsidRDefault="00434B06" w:rsidP="00434B06">
      <w:pPr>
        <w:spacing w:before="240"/>
        <w:rPr>
          <w:rFonts w:cs="Calibri"/>
          <w:szCs w:val="23"/>
        </w:rPr>
      </w:pPr>
      <w:r w:rsidRPr="002E5315">
        <w:rPr>
          <w:rFonts w:cs="Calibri"/>
          <w:szCs w:val="23"/>
        </w:rPr>
        <w:t>Što se tiče skupa dokumenata obuhvaćenih u ovoj cjelini, najviša razina objave uočena je kod objave financijskih dokumenata: 83% tijela objavljuje financijska izvješća, 82% financijski plan/proračun, a 75% izvješća o izvršenju istog. Visoka je i razina objave dokumenata sukladno Zakonu o javnoj nabavi (kad se izuzmu tijela koja su navela da nisu obveznici tog Zakona), s tim da je odgovor o neprimjenjivosti obveze objave pojedinih dokumenata u diskrepanciji s onim što zakon propisuje (poglavito kod objave popisa gospodarskih subjekata s kojima je predstavnik naručitelja ili s njim povezane osobe u sukobu interesa ili obavijesti da takvi subjekti ne postoje).</w:t>
      </w:r>
    </w:p>
    <w:p w14:paraId="6D56BF17" w14:textId="77777777" w:rsidR="00434B06" w:rsidRPr="002E5315" w:rsidRDefault="00434B06" w:rsidP="00434B06">
      <w:pPr>
        <w:rPr>
          <w:rFonts w:cs="Calibri"/>
          <w:szCs w:val="23"/>
        </w:rPr>
      </w:pPr>
      <w:r w:rsidRPr="002E5315">
        <w:rPr>
          <w:rFonts w:cs="Calibri"/>
          <w:bCs/>
          <w:iCs/>
          <w:szCs w:val="23"/>
        </w:rPr>
        <w:t>Najniža razina objave utvrđena je za popis korisnika s visinom iznosa dodijeljenih bespovratnih sredstava</w:t>
      </w:r>
      <w:r w:rsidRPr="002E5315">
        <w:rPr>
          <w:rFonts w:cs="Calibri"/>
          <w:szCs w:val="23"/>
        </w:rPr>
        <w:t>, pri čemu je 34% tijela odgovorilo da objavljuje, 29% da navedeno na njih nije primjenjivo, a čak 30% da objavljuje djelomično.</w:t>
      </w:r>
    </w:p>
    <w:p w14:paraId="444E188A" w14:textId="33EDB6EA" w:rsidR="0085052B" w:rsidRPr="002E5315" w:rsidRDefault="00434B06" w:rsidP="00434B06">
      <w:pPr>
        <w:rPr>
          <w:rFonts w:cs="Calibri"/>
          <w:szCs w:val="23"/>
        </w:rPr>
      </w:pPr>
      <w:r w:rsidRPr="002E5315">
        <w:rPr>
          <w:rFonts w:cs="Calibri"/>
          <w:bCs/>
          <w:iCs/>
          <w:szCs w:val="23"/>
        </w:rPr>
        <w:lastRenderedPageBreak/>
        <w:t>U ovom dijelu je 72% tijela odgovorilo da financijske dokumente</w:t>
      </w:r>
      <w:r w:rsidRPr="002E5315">
        <w:rPr>
          <w:rFonts w:cs="Calibri"/>
          <w:szCs w:val="23"/>
        </w:rPr>
        <w:t xml:space="preserve"> (financijsko izvješće, izvješće o izvršenju proračuna i popis korisnika bespovratnih sredstava s visinom iznosa) </w:t>
      </w:r>
      <w:r w:rsidRPr="002E5315">
        <w:rPr>
          <w:rFonts w:cs="Calibri"/>
          <w:bCs/>
          <w:iCs/>
          <w:szCs w:val="23"/>
        </w:rPr>
        <w:t>objavljuje u strojno čitljivom formatu, što ne odgovara zatečenom stanju kod provedbe analitičkih praćenja ili inspekcijskog nadzora</w:t>
      </w:r>
      <w:r w:rsidRPr="002E5315">
        <w:rPr>
          <w:rFonts w:cs="Calibri"/>
          <w:szCs w:val="23"/>
        </w:rPr>
        <w:t>, a 82% tijela je odgovorilo da ima arhivu, odnosno da ima objavljene navedene dokumente za najmanje tri godine unatrag</w:t>
      </w:r>
      <w:r w:rsidR="0085052B" w:rsidRPr="002E5315">
        <w:rPr>
          <w:rFonts w:cs="Calibri"/>
          <w:szCs w:val="23"/>
        </w:rPr>
        <w:t>.</w:t>
      </w:r>
    </w:p>
    <w:p w14:paraId="35C3F34B" w14:textId="6EBA380C" w:rsidR="00553EBA" w:rsidRPr="002E5315" w:rsidRDefault="0085052B" w:rsidP="00336534">
      <w:pPr>
        <w:pStyle w:val="Naslov3"/>
      </w:pPr>
      <w:bookmarkStart w:id="66" w:name="_Toc36308967"/>
      <w:r w:rsidRPr="002E5315">
        <w:t>Organizacija i rad</w:t>
      </w:r>
      <w:bookmarkEnd w:id="66"/>
    </w:p>
    <w:p w14:paraId="1BFDDDC6" w14:textId="71A54CD5" w:rsidR="00553EBA" w:rsidRPr="002E5315" w:rsidRDefault="00553EBA" w:rsidP="00553EBA">
      <w:pPr>
        <w:keepNext/>
        <w:spacing w:before="240"/>
        <w:rPr>
          <w:sz w:val="20"/>
          <w:szCs w:val="20"/>
        </w:rPr>
      </w:pPr>
      <w:r w:rsidRPr="002E5315">
        <w:rPr>
          <w:sz w:val="20"/>
          <w:szCs w:val="20"/>
        </w:rPr>
        <w:t xml:space="preserve">Slika 7.3. Objava informacija o </w:t>
      </w:r>
      <w:r w:rsidR="00336534" w:rsidRPr="002E5315">
        <w:rPr>
          <w:sz w:val="20"/>
          <w:szCs w:val="20"/>
        </w:rPr>
        <w:t>organizaciji i radu tijela javne vlasti</w:t>
      </w:r>
    </w:p>
    <w:p w14:paraId="35EE3E63" w14:textId="2E3C00CD" w:rsidR="0085052B" w:rsidRPr="002E5315" w:rsidRDefault="0085052B" w:rsidP="003235DB">
      <w:pPr>
        <w:jc w:val="center"/>
        <w:rPr>
          <w:rFonts w:cs="Calibri"/>
          <w:b/>
          <w:szCs w:val="23"/>
        </w:rPr>
      </w:pPr>
      <w:r w:rsidRPr="002E5315">
        <w:rPr>
          <w:rFonts w:cs="Calibri"/>
          <w:b/>
          <w:noProof/>
          <w:szCs w:val="23"/>
        </w:rPr>
        <w:drawing>
          <wp:inline distT="0" distB="0" distL="0" distR="0" wp14:anchorId="02C93D45" wp14:editId="26FE320D">
            <wp:extent cx="5238750" cy="4057650"/>
            <wp:effectExtent l="0" t="0" r="0" b="0"/>
            <wp:docPr id="18" name="Grafikon 5">
              <a:extLst xmlns:a="http://schemas.openxmlformats.org/drawingml/2006/main">
                <a:ext uri="{FF2B5EF4-FFF2-40B4-BE49-F238E27FC236}">
                  <a16:creationId xmlns:a16="http://schemas.microsoft.com/office/drawing/2014/main" id="{008345E2-0705-445A-9567-48B57331A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7773E1" w14:textId="77777777" w:rsidR="00434B06" w:rsidRPr="002E5315" w:rsidRDefault="00434B06" w:rsidP="00434B06">
      <w:pPr>
        <w:spacing w:before="240"/>
        <w:rPr>
          <w:rFonts w:cs="Calibri"/>
          <w:szCs w:val="23"/>
        </w:rPr>
      </w:pPr>
      <w:r w:rsidRPr="002E5315">
        <w:rPr>
          <w:rFonts w:cs="Calibri"/>
          <w:bCs/>
          <w:iCs/>
          <w:szCs w:val="23"/>
        </w:rPr>
        <w:t>Što se tiče objave informacija o unutarnjem ustrojstvu i kontakt podataka, 81% tijela odgovorilo je potvrdno, što također nije u suglasju s dosad uočenim primjerima iz prakse</w:t>
      </w:r>
      <w:r w:rsidRPr="002E5315">
        <w:rPr>
          <w:rFonts w:cs="Calibri"/>
          <w:szCs w:val="23"/>
        </w:rPr>
        <w:t>, gdje je slučaj da većina tijela nema objavljena imena voditelja ustrojstvenih jedinica i njihove kontakte, stoga ne ispunjava obvezu iz točke 11. u cijelosti.</w:t>
      </w:r>
    </w:p>
    <w:p w14:paraId="7520F8F9" w14:textId="504C445D" w:rsidR="0085052B" w:rsidRPr="002E5315" w:rsidRDefault="00434B06" w:rsidP="00434B06">
      <w:pPr>
        <w:rPr>
          <w:rFonts w:cs="Calibri"/>
          <w:szCs w:val="23"/>
        </w:rPr>
      </w:pPr>
      <w:r w:rsidRPr="002E5315">
        <w:rPr>
          <w:rFonts w:cs="Calibri"/>
          <w:szCs w:val="23"/>
        </w:rPr>
        <w:t xml:space="preserve">Glede natječajnih postupaka, 1.121 tijelo koje objavljuje raspisane natječaje, ne objavljuje ishode tih natječaja, čime se ne ostvaruje transparentnost provedenih postupaka, a i općenito se može zaključiti da </w:t>
      </w:r>
      <w:r w:rsidRPr="002E5315">
        <w:rPr>
          <w:rFonts w:cs="Calibri"/>
          <w:bCs/>
          <w:iCs/>
          <w:szCs w:val="23"/>
        </w:rPr>
        <w:t>potvrdne odgovore 61% tijela glede objave ishoda natječaja, treba uzeti s dozom opreza, budući da je dosadašnja praksa pokazala da je riječ o vrsti informacije s najnižom prosječnom razinom objave</w:t>
      </w:r>
      <w:r w:rsidR="0085052B" w:rsidRPr="002E5315">
        <w:rPr>
          <w:rFonts w:cs="Calibri"/>
          <w:szCs w:val="23"/>
        </w:rPr>
        <w:t>.</w:t>
      </w:r>
    </w:p>
    <w:p w14:paraId="18E7778F" w14:textId="02E25F47" w:rsidR="008703C8" w:rsidRPr="002E5315" w:rsidRDefault="008703C8" w:rsidP="00434B06">
      <w:pPr>
        <w:rPr>
          <w:rFonts w:cs="Calibri"/>
          <w:szCs w:val="23"/>
        </w:rPr>
      </w:pPr>
    </w:p>
    <w:p w14:paraId="416DCE5B" w14:textId="77777777" w:rsidR="008703C8" w:rsidRPr="002E5315" w:rsidRDefault="008703C8" w:rsidP="00434B06">
      <w:pPr>
        <w:rPr>
          <w:rFonts w:cs="Calibri"/>
          <w:szCs w:val="23"/>
        </w:rPr>
      </w:pPr>
    </w:p>
    <w:p w14:paraId="160E49C0" w14:textId="46762AB3" w:rsidR="00553EBA" w:rsidRPr="002E5315" w:rsidRDefault="0085052B" w:rsidP="00336534">
      <w:pPr>
        <w:pStyle w:val="Naslov3"/>
      </w:pPr>
      <w:bookmarkStart w:id="67" w:name="_Toc36308968"/>
      <w:r w:rsidRPr="002E5315">
        <w:lastRenderedPageBreak/>
        <w:t>Registri i evidencije</w:t>
      </w:r>
      <w:bookmarkEnd w:id="67"/>
    </w:p>
    <w:p w14:paraId="33C06C12" w14:textId="5F1F3E40" w:rsidR="00553EBA" w:rsidRPr="002E5315" w:rsidRDefault="00553EBA" w:rsidP="00553EBA">
      <w:pPr>
        <w:keepNext/>
        <w:spacing w:before="240"/>
        <w:rPr>
          <w:sz w:val="20"/>
          <w:szCs w:val="20"/>
        </w:rPr>
      </w:pPr>
      <w:r w:rsidRPr="002E5315">
        <w:rPr>
          <w:sz w:val="20"/>
          <w:szCs w:val="20"/>
        </w:rPr>
        <w:t>Slika 7.4. Objava registara / evidencija i informacija o registrima / evidencijama</w:t>
      </w:r>
      <w:r w:rsidR="00336534" w:rsidRPr="002E5315">
        <w:rPr>
          <w:sz w:val="20"/>
          <w:szCs w:val="20"/>
        </w:rPr>
        <w:t xml:space="preserve"> tijela javne vlasti</w:t>
      </w:r>
    </w:p>
    <w:p w14:paraId="53F2F665" w14:textId="16DAAA93" w:rsidR="0085052B" w:rsidRPr="002E5315" w:rsidRDefault="0085052B" w:rsidP="001537FA">
      <w:pPr>
        <w:jc w:val="center"/>
        <w:rPr>
          <w:rFonts w:cs="Calibri"/>
          <w:szCs w:val="23"/>
        </w:rPr>
      </w:pPr>
      <w:r w:rsidRPr="002E5315">
        <w:rPr>
          <w:rFonts w:cs="Calibri"/>
          <w:noProof/>
          <w:szCs w:val="23"/>
        </w:rPr>
        <w:drawing>
          <wp:inline distT="0" distB="0" distL="0" distR="0" wp14:anchorId="21AD3CB1" wp14:editId="79405301">
            <wp:extent cx="5667375" cy="3781425"/>
            <wp:effectExtent l="0" t="0" r="0" b="0"/>
            <wp:docPr id="4" name="Grafikon 7">
              <a:extLst xmlns:a="http://schemas.openxmlformats.org/drawingml/2006/main">
                <a:ext uri="{FF2B5EF4-FFF2-40B4-BE49-F238E27FC236}">
                  <a16:creationId xmlns:a16="http://schemas.microsoft.com/office/drawing/2014/main" id="{1C2DD60F-3402-4D21-B875-EBA6DB58F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347ADC" w14:textId="77777777" w:rsidR="00633D93" w:rsidRDefault="00434B06" w:rsidP="00434B06">
      <w:pPr>
        <w:spacing w:before="240"/>
        <w:rPr>
          <w:rFonts w:cs="Calibri"/>
          <w:szCs w:val="23"/>
        </w:rPr>
      </w:pPr>
      <w:r w:rsidRPr="00AB1333">
        <w:rPr>
          <w:rFonts w:cs="Calibri"/>
          <w:szCs w:val="23"/>
        </w:rPr>
        <w:t xml:space="preserve">Vezano za skup pitanja koji se odnosi </w:t>
      </w:r>
      <w:r w:rsidRPr="00AB1333">
        <w:rPr>
          <w:rFonts w:cs="Calibri"/>
          <w:bCs/>
          <w:iCs/>
          <w:szCs w:val="23"/>
        </w:rPr>
        <w:t>na</w:t>
      </w:r>
      <w:r w:rsidRPr="00AB1333">
        <w:rPr>
          <w:rFonts w:cs="Calibri"/>
          <w:szCs w:val="23"/>
        </w:rPr>
        <w:t xml:space="preserve"> </w:t>
      </w:r>
      <w:r w:rsidRPr="00AB1333">
        <w:rPr>
          <w:rFonts w:cs="Calibri"/>
          <w:bCs/>
          <w:iCs/>
          <w:szCs w:val="23"/>
        </w:rPr>
        <w:t>obvezu objave popisa skupova podataka koje tijela vode u okviru svojih nadležnosti (tzv. asset lista), samo 682 od 4.985 tijela je odgovorilo potvrdno</w:t>
      </w:r>
      <w:r w:rsidRPr="00AB1333">
        <w:rPr>
          <w:rFonts w:cs="Calibri"/>
          <w:iCs/>
          <w:szCs w:val="23"/>
        </w:rPr>
        <w:t>,</w:t>
      </w:r>
      <w:r w:rsidRPr="00AB1333">
        <w:rPr>
          <w:rFonts w:cs="Calibri"/>
          <w:szCs w:val="23"/>
        </w:rPr>
        <w:t xml:space="preserve"> i to sedam državnih tijela, 28 tijela državne uprave, 21 agencija, 126 JLP(R)S, 25 pravosudnih tijela, 334 ustanove, 38 udruga, 73 trgovačka društva i 31 ostala pravna osoba. Međutim, uvidom u internetske stranice nasumično odabranih tijela koja su odgovorila potvrdno, utvrđeno je da nema objavljenog popisa skupova podataka s metapodacima, što je posebno zabrinjavajuće na razini državnih tijela i tijela državne uprave, odnosno ministarstava. Ujedno je utvrđeno da među tijelima koja su odgovorila da ova zakonska obveza na njih nije primjenjiva, ima onih koja u okviru svog djelokruga vode skupove podataka, kako one pogodne za ponovnu uporabu, tako i one koje bi trebalo objaviti djelomično (uz zaštitu dijela osobnih podataka)</w:t>
      </w:r>
      <w:r w:rsidR="00633D93">
        <w:rPr>
          <w:rFonts w:cs="Calibri"/>
          <w:szCs w:val="23"/>
        </w:rPr>
        <w:t>.</w:t>
      </w:r>
    </w:p>
    <w:p w14:paraId="4C0FFF27" w14:textId="06298DE0" w:rsidR="00434B06" w:rsidRPr="002E5315" w:rsidRDefault="00434B06" w:rsidP="00434B06">
      <w:pPr>
        <w:rPr>
          <w:rFonts w:cs="Arial"/>
          <w:b/>
          <w:szCs w:val="23"/>
        </w:rPr>
      </w:pPr>
      <w:r w:rsidRPr="00AB1333">
        <w:rPr>
          <w:rFonts w:cs="Calibri"/>
          <w:szCs w:val="23"/>
        </w:rPr>
        <w:t xml:space="preserve">Navedeno pokazuje nerazumijevanje ove zakonske obveze kod velikog broja tijela i nakon pet godina primjene Zakona. Iako Ured povjerenika prilikom edukacija i odgovaranja na upite upućuje tijela na način provedbe ove zakonske obveze i objavljene asset liste na stranicama Povjerenika, kao i Hrvatskog sabora, Hrvatske psihološke komore ili, primjerice, Ministarstva pravosuđa (iako nedostaju metapodaci pa prosječnom korisniku nije razumljivo o kakvim skupovima podataka je riječ), </w:t>
      </w:r>
      <w:r w:rsidRPr="00AB1333">
        <w:rPr>
          <w:rFonts w:cs="Calibri"/>
          <w:bCs/>
          <w:szCs w:val="23"/>
        </w:rPr>
        <w:t>razina objave je vrlo niska</w:t>
      </w:r>
      <w:r w:rsidRPr="00AB1333">
        <w:rPr>
          <w:rFonts w:cs="Calibri"/>
          <w:szCs w:val="23"/>
        </w:rPr>
        <w:t>. Stoga je, nakon preliminarne analize dostavljenih podataka, a u okviru svoje nadležnosti</w:t>
      </w:r>
      <w:r w:rsidRPr="00AB1333">
        <w:rPr>
          <w:rFonts w:cs="Calibri"/>
          <w:bCs/>
          <w:szCs w:val="23"/>
        </w:rPr>
        <w:t xml:space="preserve">, </w:t>
      </w:r>
      <w:r w:rsidRPr="00AB1333">
        <w:rPr>
          <w:rFonts w:cs="Calibri"/>
          <w:bCs/>
          <w:iCs/>
          <w:szCs w:val="23"/>
        </w:rPr>
        <w:t xml:space="preserve">Povjerenik </w:t>
      </w:r>
      <w:r w:rsidRPr="00AB1333">
        <w:rPr>
          <w:rFonts w:cs="Arial"/>
          <w:bCs/>
          <w:iCs/>
          <w:szCs w:val="23"/>
        </w:rPr>
        <w:t>predložio ministarstvima i državnim upravnim organizacijama, kao posjednicima respektabilnog broja registara i baza podataka, da objave Popis svih registara i baza podataka iz svoje nadležnosti, s kratkim</w:t>
      </w:r>
      <w:r w:rsidRPr="002E5315">
        <w:rPr>
          <w:rFonts w:cs="Arial"/>
          <w:bCs/>
          <w:iCs/>
          <w:color w:val="000000" w:themeColor="text1"/>
          <w:szCs w:val="23"/>
        </w:rPr>
        <w:t xml:space="preserve"> opisom</w:t>
      </w:r>
      <w:r w:rsidRPr="002E5315">
        <w:rPr>
          <w:rFonts w:cs="Arial"/>
          <w:bCs/>
          <w:color w:val="000000" w:themeColor="text1"/>
          <w:szCs w:val="23"/>
        </w:rPr>
        <w:t xml:space="preserve"> </w:t>
      </w:r>
      <w:r w:rsidRPr="002E5315">
        <w:rPr>
          <w:rFonts w:cs="Arial"/>
          <w:bCs/>
          <w:szCs w:val="23"/>
        </w:rPr>
        <w:lastRenderedPageBreak/>
        <w:t>(</w:t>
      </w:r>
      <w:r w:rsidRPr="00AB1333">
        <w:rPr>
          <w:rFonts w:cs="Arial"/>
          <w:bCs/>
          <w:szCs w:val="23"/>
        </w:rPr>
        <w:t xml:space="preserve">metapodaci), </w:t>
      </w:r>
      <w:r w:rsidRPr="00AB1333">
        <w:rPr>
          <w:rFonts w:cs="Arial"/>
          <w:szCs w:val="23"/>
        </w:rPr>
        <w:t>radi informiranja</w:t>
      </w:r>
      <w:r w:rsidRPr="002E5315">
        <w:rPr>
          <w:rFonts w:cs="Arial"/>
          <w:szCs w:val="23"/>
        </w:rPr>
        <w:t xml:space="preserve"> javnosti, ali i radi provedbe analize pogodnosti registara i baza podataka za objavu u otvorenom i strojno čitljivom obliku.</w:t>
      </w:r>
    </w:p>
    <w:p w14:paraId="47D95F30" w14:textId="1CBC64D2" w:rsidR="0085052B" w:rsidRPr="002E5315" w:rsidRDefault="00434B06" w:rsidP="00434B06">
      <w:pPr>
        <w:rPr>
          <w:rFonts w:cs="Calibri"/>
          <w:szCs w:val="23"/>
        </w:rPr>
      </w:pPr>
      <w:r w:rsidRPr="002E5315">
        <w:rPr>
          <w:rFonts w:cs="Calibri"/>
          <w:szCs w:val="23"/>
        </w:rPr>
        <w:t>Kada je riječ o drugim kategorijama tijela javne vlasti, koja su navela da objavljuju skupove podataka na svojim internetskim stranicama, izdvaja se cijeli niz dječjih vrtića, knjižnica, domova za starije i nemoćne, centara za socijalnu skrb, osnovnih i srednjih škola te drugih tijela koja u okviru svog djelokruga ne vode registre i baze podataka pogodne za javnu objavu, pa ova obveza za njih nije primjenjiva. To što je 857 tijela odgovorilo da je navedene skupove objavilo u strojno čitljivom formatu, što je gotovo 200 tijela više u odnosu na broj tijela koji je odgovorio da ih je objavio (neovisno o formatu), kao i da je 803 omogućilo preuzimanje podataka u cijelosti, potvrđuje nerazumijevanje ove zakonske obveze. Ujedno je 490 tijela odgovorilo da je svoje skupove podataka objavilo i na Portalu otvorenih podataka, a uvidom u Portal utvrđeno je da je su samo 74 tijela izdavači, odnosno oni koji su objavili barem jedan skup podataka</w:t>
      </w:r>
      <w:r w:rsidR="0085052B" w:rsidRPr="002E5315">
        <w:rPr>
          <w:rFonts w:cs="Calibri"/>
          <w:szCs w:val="23"/>
        </w:rPr>
        <w:t>.</w:t>
      </w:r>
    </w:p>
    <w:p w14:paraId="79259BFC" w14:textId="4CA414FC" w:rsidR="0085052B" w:rsidRPr="002E5315" w:rsidRDefault="0085052B" w:rsidP="003235DB">
      <w:pPr>
        <w:pStyle w:val="Naslov3"/>
      </w:pPr>
      <w:bookmarkStart w:id="68" w:name="_Toc36308969"/>
      <w:r w:rsidRPr="002E5315">
        <w:t>Javnost rada kolegijalnih tijela</w:t>
      </w:r>
      <w:bookmarkEnd w:id="68"/>
    </w:p>
    <w:p w14:paraId="4DC5EB6D" w14:textId="05A91550" w:rsidR="00336534" w:rsidRPr="002E5315" w:rsidRDefault="00336534" w:rsidP="00336534">
      <w:pPr>
        <w:keepNext/>
        <w:spacing w:before="240"/>
        <w:rPr>
          <w:sz w:val="20"/>
          <w:szCs w:val="20"/>
        </w:rPr>
      </w:pPr>
      <w:r w:rsidRPr="002E5315">
        <w:rPr>
          <w:sz w:val="20"/>
          <w:szCs w:val="20"/>
        </w:rPr>
        <w:t xml:space="preserve">Slika 7.5. Objava informacija o javnosti rada kolegijalnih tijela </w:t>
      </w:r>
      <w:r w:rsidR="0011149C" w:rsidRPr="002E5315">
        <w:rPr>
          <w:sz w:val="20"/>
          <w:szCs w:val="20"/>
        </w:rPr>
        <w:t>tijela javne vlasti</w:t>
      </w:r>
    </w:p>
    <w:p w14:paraId="0CAA5FB1" w14:textId="57BD5E62" w:rsidR="0085052B" w:rsidRPr="002E5315" w:rsidRDefault="0085052B" w:rsidP="001537FA">
      <w:pPr>
        <w:jc w:val="center"/>
        <w:rPr>
          <w:rFonts w:cs="Calibri"/>
          <w:szCs w:val="23"/>
        </w:rPr>
      </w:pPr>
      <w:r w:rsidRPr="002E5315">
        <w:rPr>
          <w:rFonts w:cs="Calibri"/>
          <w:b/>
          <w:noProof/>
          <w:szCs w:val="23"/>
        </w:rPr>
        <w:drawing>
          <wp:inline distT="0" distB="0" distL="0" distR="0" wp14:anchorId="67F39526" wp14:editId="797AD740">
            <wp:extent cx="6057900" cy="2695575"/>
            <wp:effectExtent l="0" t="0" r="0" b="0"/>
            <wp:docPr id="19" name="Grafikon 11">
              <a:extLst xmlns:a="http://schemas.openxmlformats.org/drawingml/2006/main">
                <a:ext uri="{FF2B5EF4-FFF2-40B4-BE49-F238E27FC236}">
                  <a16:creationId xmlns:a16="http://schemas.microsoft.com/office/drawing/2014/main" id="{5112119D-21A3-4286-A90C-F51CC788E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605246" w14:textId="77777777" w:rsidR="00434B06" w:rsidRPr="002E5315" w:rsidRDefault="00434B06" w:rsidP="00434B06">
      <w:pPr>
        <w:spacing w:before="240"/>
        <w:rPr>
          <w:rFonts w:eastAsia="Calibri" w:cs="Calibri"/>
          <w:color w:val="000000"/>
          <w:szCs w:val="23"/>
          <w:lang w:eastAsia="en-US"/>
        </w:rPr>
      </w:pPr>
      <w:r w:rsidRPr="002E5315">
        <w:rPr>
          <w:rFonts w:eastAsia="Calibri" w:cs="Calibri"/>
          <w:color w:val="000000"/>
          <w:szCs w:val="23"/>
          <w:lang w:eastAsia="en-US"/>
        </w:rPr>
        <w:t>Prema dostavljenim podacima iz izvješća, uočen je porast razine objave dnevnih redova sjednica –oko 40% (u 2018. -22%) te jednaka razina objave informacija o mogućnostima neposrednog uvida u rad tijela (24%) u odnosu na prethodnu godinu. Oko 44% tijela navelo je da objavljuje zaključke sa sjednica, dok 36% objavljuje informacije o formalnim radnim tijelima.</w:t>
      </w:r>
    </w:p>
    <w:p w14:paraId="1944F4E5" w14:textId="46A9034D" w:rsidR="0085052B" w:rsidRPr="002E5315" w:rsidRDefault="00434B06" w:rsidP="00434B06">
      <w:pPr>
        <w:rPr>
          <w:rFonts w:eastAsia="Calibri" w:cs="Calibri"/>
          <w:color w:val="000000"/>
          <w:szCs w:val="23"/>
          <w:lang w:eastAsia="en-US"/>
        </w:rPr>
      </w:pPr>
      <w:r w:rsidRPr="002E5315">
        <w:rPr>
          <w:rFonts w:eastAsia="Calibri" w:cs="Calibri"/>
          <w:color w:val="000000"/>
          <w:szCs w:val="23"/>
          <w:lang w:eastAsia="en-US"/>
        </w:rPr>
        <w:t>Međutim, kad se promatraju odgovori tijela koja smatraju da obveza osiguravanja javnosti rada na njih nije primjenjiva, uočena je diskrepancija između četiri pitanja – primjerice, neka tijela smatraju da obveza objave dnevnih redova na njih nije primjenjiva, a istovremeno su odgovorili da objavljuju zaključke sa sjednica. Također, tijela koja održavaju sjednice kolegijalnih tijela, moraju omogućiti neposredan uvid u rad, a otprilike 30% smatra da ta obveza na njih nije primjenjiva u odnosu na obveze objave dnevnih redova i zaključaka</w:t>
      </w:r>
      <w:r w:rsidR="0085052B" w:rsidRPr="002E5315">
        <w:rPr>
          <w:rFonts w:eastAsia="Calibri" w:cs="Calibri"/>
          <w:color w:val="000000"/>
          <w:szCs w:val="23"/>
          <w:lang w:eastAsia="en-US"/>
        </w:rPr>
        <w:t>.</w:t>
      </w:r>
    </w:p>
    <w:p w14:paraId="5CF07291" w14:textId="77777777" w:rsidR="008703C8" w:rsidRPr="002E5315" w:rsidRDefault="008703C8" w:rsidP="00434B06">
      <w:pPr>
        <w:rPr>
          <w:rFonts w:eastAsia="Calibri" w:cs="Calibri"/>
          <w:color w:val="000000"/>
          <w:szCs w:val="23"/>
          <w:lang w:eastAsia="en-US"/>
        </w:rPr>
      </w:pPr>
    </w:p>
    <w:p w14:paraId="0573B0B0" w14:textId="49082DC5" w:rsidR="0085052B" w:rsidRPr="002E5315" w:rsidRDefault="0085052B" w:rsidP="003235DB">
      <w:pPr>
        <w:pStyle w:val="Naslov3"/>
      </w:pPr>
      <w:bookmarkStart w:id="69" w:name="_Toc36308970"/>
      <w:r w:rsidRPr="002E5315">
        <w:lastRenderedPageBreak/>
        <w:t>Pravo na pristup i ponovnu uporabu informacija</w:t>
      </w:r>
      <w:bookmarkEnd w:id="69"/>
    </w:p>
    <w:p w14:paraId="59D0C092" w14:textId="49F6161F" w:rsidR="00D122B9" w:rsidRPr="002E5315" w:rsidRDefault="00D122B9" w:rsidP="00D122B9">
      <w:pPr>
        <w:keepNext/>
        <w:spacing w:before="240"/>
        <w:rPr>
          <w:sz w:val="20"/>
          <w:szCs w:val="20"/>
        </w:rPr>
      </w:pPr>
      <w:r w:rsidRPr="002E5315">
        <w:rPr>
          <w:sz w:val="20"/>
          <w:szCs w:val="20"/>
        </w:rPr>
        <w:t>Slika 7.6. Objava informacija o pravu na pristup i ponovnoj uporabi informacija</w:t>
      </w:r>
    </w:p>
    <w:p w14:paraId="424E0BF5" w14:textId="77777777" w:rsidR="0085052B" w:rsidRPr="002E5315" w:rsidRDefault="0085052B" w:rsidP="0085052B">
      <w:pPr>
        <w:jc w:val="center"/>
        <w:rPr>
          <w:rFonts w:cs="Calibri"/>
          <w:szCs w:val="23"/>
        </w:rPr>
      </w:pPr>
      <w:r w:rsidRPr="002E5315">
        <w:rPr>
          <w:rFonts w:cs="Calibri"/>
          <w:noProof/>
          <w:szCs w:val="23"/>
        </w:rPr>
        <w:drawing>
          <wp:inline distT="0" distB="0" distL="0" distR="0" wp14:anchorId="5300E25E" wp14:editId="1577AB5C">
            <wp:extent cx="5753100" cy="3000375"/>
            <wp:effectExtent l="0" t="0" r="0" b="0"/>
            <wp:docPr id="20" name="Grafikon 12">
              <a:extLst xmlns:a="http://schemas.openxmlformats.org/drawingml/2006/main">
                <a:ext uri="{FF2B5EF4-FFF2-40B4-BE49-F238E27FC236}">
                  <a16:creationId xmlns:a16="http://schemas.microsoft.com/office/drawing/2014/main" id="{4B2E81A9-BC9F-4CB2-B34B-CA0F043CB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156AC9" w14:textId="77777777" w:rsidR="00434B06" w:rsidRPr="002E5315" w:rsidRDefault="00434B06" w:rsidP="00434B06">
      <w:pPr>
        <w:spacing w:before="240"/>
        <w:rPr>
          <w:szCs w:val="23"/>
        </w:rPr>
      </w:pPr>
      <w:r w:rsidRPr="002E5315">
        <w:rPr>
          <w:rFonts w:cs="Calibri"/>
          <w:szCs w:val="23"/>
        </w:rPr>
        <w:t>U ovom dijelu odgovor 'nije primjenjivo' nije bio ponuđen, budući da su sva tijela u obvezi objaviti informacije propisane točkom 13. članka 10. ZPPI-ja. Gotovo 84% tijela navelo je da objavljuje obavijest, a 6% više objavljuje i kontakt službenika za informiranje. Kod objave obrazaca zahtjeva, najniža razina uočena je kod objave obrasca zahtjeva za ponovnu uporabu, a samo 46% navelo je da objavljuje Kriterije ili poveznicu na iste.</w:t>
      </w:r>
    </w:p>
    <w:p w14:paraId="56AE7730" w14:textId="77777777" w:rsidR="00434B06" w:rsidRPr="002E5315" w:rsidRDefault="00434B06" w:rsidP="00434B06">
      <w:pPr>
        <w:rPr>
          <w:rFonts w:cs="Calibri"/>
          <w:bCs/>
          <w:iCs/>
          <w:szCs w:val="23"/>
        </w:rPr>
      </w:pPr>
      <w:r w:rsidRPr="002E5315">
        <w:rPr>
          <w:rFonts w:cs="Calibri"/>
          <w:bCs/>
          <w:iCs/>
          <w:szCs w:val="23"/>
        </w:rPr>
        <w:t>I ove godine je, kao i ranije, usporedbom podataka iz dostavljenih izvješća i rezultata provedenih praćenja te prakse postupanja Povjerenika, u velikom opsegu pitanja vidljiva neusuglašenost u razini objave pojedinih vrsta informacija propisanih člankom 10., budući da dosadašnji nalazi u najvećoj mjeri ukazuju na to da većina tijela, suprotno navedenom u izvješću, ne objavljuju zakone i ostali propise, popis skupova podataka te registre i baze pogodne za ponovnu uporabu, kao i popis korisnika bespovratnih sredstava s visinom iznosa, te ne objavljuju na cjelovit i pravilan način informacije o javnim uslugama, natječajnim postupcima i ishodima, o unutarnjem ustrojstvu i kontakt podatke čelnika i rukovodećih službenika, zaključke i dokumente sa sjednica te informacije o formalnim radnim tijelima i informacije vezane za ostvarivanje prava na pristup i ponovnu uporabu informacija.</w:t>
      </w:r>
    </w:p>
    <w:p w14:paraId="03ACC17A" w14:textId="7E1F41ED" w:rsidR="0085052B" w:rsidRPr="002E5315" w:rsidRDefault="00434B06" w:rsidP="00434B06">
      <w:pPr>
        <w:rPr>
          <w:rFonts w:cs="Calibri"/>
          <w:szCs w:val="23"/>
        </w:rPr>
      </w:pPr>
      <w:r w:rsidRPr="002E5315">
        <w:rPr>
          <w:rFonts w:cs="Calibri"/>
          <w:bCs/>
          <w:iCs/>
          <w:szCs w:val="23"/>
        </w:rPr>
        <w:t>Navedeno je potvrđeno i rezultatima analitičkih praćenja jedinica lokalne samouprave s područja odabranih županija, koji su prikazani u nastavku</w:t>
      </w:r>
      <w:r w:rsidR="0085052B" w:rsidRPr="002E5315">
        <w:rPr>
          <w:rFonts w:cs="Calibri"/>
          <w:szCs w:val="23"/>
        </w:rPr>
        <w:t>.</w:t>
      </w:r>
    </w:p>
    <w:p w14:paraId="15870F35" w14:textId="267FAEC2" w:rsidR="0085052B" w:rsidRPr="002E5315" w:rsidRDefault="0085052B" w:rsidP="00C01193">
      <w:pPr>
        <w:pStyle w:val="Naslov2"/>
      </w:pPr>
      <w:bookmarkStart w:id="70" w:name="_Toc4677868"/>
      <w:bookmarkStart w:id="71" w:name="_Toc36308971"/>
      <w:r w:rsidRPr="002E5315">
        <w:t>Analitičko praćenje proaktivne objave i javnosti rada</w:t>
      </w:r>
      <w:bookmarkEnd w:id="70"/>
      <w:bookmarkEnd w:id="71"/>
    </w:p>
    <w:p w14:paraId="079AC36B" w14:textId="77777777" w:rsidR="00633D93" w:rsidRDefault="00434B06" w:rsidP="0085052B">
      <w:pPr>
        <w:rPr>
          <w:rFonts w:cs="Calibri"/>
          <w:szCs w:val="23"/>
        </w:rPr>
      </w:pPr>
      <w:r w:rsidRPr="002E5315">
        <w:rPr>
          <w:szCs w:val="23"/>
        </w:rPr>
        <w:t xml:space="preserve">Tijekom 2019., Povjerenik je nastavio s provedbom analitičkih praćenja provedbe proaktivne objave, javnosti rada i savjetovanja s javnošću kod ciljanih skupina tijela javne vlasti. Nastavljeno je praćenje transparentnosti i otvorenosti JLP(R)S po županijama </w:t>
      </w:r>
      <w:r w:rsidRPr="002E5315">
        <w:rPr>
          <w:b/>
          <w:szCs w:val="23"/>
        </w:rPr>
        <w:t>(pet županija – 143 jedinice)</w:t>
      </w:r>
      <w:r w:rsidRPr="002E5315">
        <w:rPr>
          <w:szCs w:val="23"/>
        </w:rPr>
        <w:t xml:space="preserve"> </w:t>
      </w:r>
      <w:r w:rsidRPr="002E5315">
        <w:rPr>
          <w:szCs w:val="23"/>
        </w:rPr>
        <w:lastRenderedPageBreak/>
        <w:t xml:space="preserve">te dva specijalizirana praćenja pojedinih segmenata obveze proaktivne objave (točka 1. na razini </w:t>
      </w:r>
      <w:r w:rsidRPr="002E5315">
        <w:rPr>
          <w:b/>
          <w:bCs/>
          <w:szCs w:val="23"/>
        </w:rPr>
        <w:t>20 ministarstava</w:t>
      </w:r>
      <w:r w:rsidRPr="002E5315">
        <w:rPr>
          <w:szCs w:val="23"/>
        </w:rPr>
        <w:t xml:space="preserve"> te točke 4., 7. i 8. od strane </w:t>
      </w:r>
      <w:r w:rsidRPr="002E5315">
        <w:rPr>
          <w:b/>
          <w:bCs/>
          <w:szCs w:val="23"/>
        </w:rPr>
        <w:t>26 strukovnih komora</w:t>
      </w:r>
      <w:r w:rsidRPr="002E5315">
        <w:rPr>
          <w:szCs w:val="23"/>
        </w:rPr>
        <w:t xml:space="preserve">). Analitička izvješća dostupna su na poveznici </w:t>
      </w:r>
      <w:hyperlink r:id="rId30" w:history="1">
        <w:r w:rsidRPr="002E5315">
          <w:rPr>
            <w:rStyle w:val="Hiperveza"/>
            <w:szCs w:val="23"/>
          </w:rPr>
          <w:t>https://www.pristupinfo.hr/dokumenti-i-publikacije/analiticka-izvjesca/</w:t>
        </w:r>
      </w:hyperlink>
      <w:r w:rsidRPr="002E5315">
        <w:rPr>
          <w:rStyle w:val="Hiperveza"/>
          <w:szCs w:val="23"/>
        </w:rPr>
        <w:t xml:space="preserve">, </w:t>
      </w:r>
      <w:r w:rsidRPr="002E5315">
        <w:rPr>
          <w:szCs w:val="23"/>
        </w:rPr>
        <w:t xml:space="preserve">a u nastavku se iznose ključni rezultati praćenja ispunjenja obveze proaktivne objave informacija i osiguravanja javnosti rada, dok su rezultati provedbe savjetovanja s javnošću opisani </w:t>
      </w:r>
      <w:r w:rsidRPr="002E5315">
        <w:rPr>
          <w:rFonts w:cs="Calibri"/>
          <w:szCs w:val="23"/>
        </w:rPr>
        <w:t>u poglavlju 8</w:t>
      </w:r>
      <w:r w:rsidR="00633D93">
        <w:rPr>
          <w:rFonts w:cs="Calibri"/>
          <w:szCs w:val="23"/>
        </w:rPr>
        <w:t>.</w:t>
      </w:r>
    </w:p>
    <w:p w14:paraId="5334AF0A" w14:textId="0F59EB0B" w:rsidR="0085052B" w:rsidRPr="002E5315" w:rsidRDefault="00382178" w:rsidP="00C01193">
      <w:pPr>
        <w:pStyle w:val="Naslov3"/>
      </w:pPr>
      <w:bookmarkStart w:id="72" w:name="_Toc36308972"/>
      <w:r w:rsidRPr="002E5315">
        <w:rPr>
          <w:szCs w:val="23"/>
        </w:rPr>
        <w:t>Transparentnost i otvorenost u lokalnoj i područnoj (regionalnoj) samoupravi – nastavak godišnjeg praćenja</w:t>
      </w:r>
      <w:bookmarkEnd w:id="72"/>
    </w:p>
    <w:p w14:paraId="4C93EA3C" w14:textId="305FC506" w:rsidR="00382178" w:rsidRPr="002E5315" w:rsidRDefault="00382178" w:rsidP="00382178">
      <w:pPr>
        <w:pStyle w:val="Odlomakpopisa"/>
        <w:keepNext/>
        <w:ind w:left="0"/>
        <w:rPr>
          <w:rFonts w:ascii="Gill Sans MT" w:hAnsi="Gill Sans MT"/>
          <w:sz w:val="23"/>
          <w:szCs w:val="23"/>
        </w:rPr>
      </w:pPr>
      <w:r w:rsidRPr="002E5315">
        <w:rPr>
          <w:rFonts w:ascii="Gill Sans MT" w:hAnsi="Gill Sans MT"/>
          <w:sz w:val="23"/>
          <w:szCs w:val="23"/>
        </w:rPr>
        <w:t xml:space="preserve">S ciljem razvijanja kulture transparentnosti ove specifične skupine tijela javne vlasti čije je djelovanje od iznimnog značaja za život građana i s kojima su građani i pravne osobe u svakodnevnom neposrednom kontaktu, Povjerenik je nastavio s provedbom analitičkih praćenja internetskih stranica JLP(R)S-ova. </w:t>
      </w:r>
      <w:r w:rsidR="00AB1333">
        <w:rPr>
          <w:rFonts w:ascii="Gill Sans MT" w:hAnsi="Gill Sans MT"/>
          <w:sz w:val="23"/>
          <w:szCs w:val="23"/>
        </w:rPr>
        <w:t xml:space="preserve">U 2019. praćenjem su bile obuhvaćene 143 JLP(R)S s područja niže navedenih 5 županija. </w:t>
      </w:r>
      <w:r w:rsidRPr="002E5315">
        <w:rPr>
          <w:rFonts w:ascii="Gill Sans MT" w:hAnsi="Gill Sans MT"/>
          <w:bCs/>
          <w:iCs/>
          <w:sz w:val="23"/>
          <w:szCs w:val="23"/>
        </w:rPr>
        <w:t>U 2019., Povjerenik je izradio novu metodologiju praćenja</w:t>
      </w:r>
      <w:r w:rsidRPr="002E5315">
        <w:rPr>
          <w:rFonts w:ascii="Gill Sans MT" w:hAnsi="Gill Sans MT"/>
          <w:sz w:val="23"/>
          <w:szCs w:val="23"/>
        </w:rPr>
        <w:t xml:space="preserve">, prema kojoj se pratilo pojedinačno izvršenje svake propisane obveze, s tim da je od 14 točaka članka 10. ZPPI-ja, obuhvaćeno njih 11, uključujući i informacije čiju obvezu objave propisuju članci 11. i 12. ZPPI-ja. Način proaktivne objave informacija, provedbe savjetovanja s javnošću i osiguravanja javnosti rada tijela javne vlasti izražen je bodovima ili opisno, a svaka JLP(R)S mogla je ostvariti ukupno maksimalno 35 bodova. Metodologijom praćenja nisu praćene točke 1., 7. i 14. članka 10., budući da je ranijim praćenjima utvrđeno uobičajeno stanje glede objave zakona i propisa koji uređuju njihov djelokrug rada (izrazito niska razina objave navedenih informacija) i vijesti, obavijesti i drugih informacija (gotovo sve jedinice objavljuju navedene informacije), dok točka 7. (prijedlog proračuna, usvojeni proračun i izvršenje istog) nije praćena jer Institut za javne financije svake godine provodi istraživanje transparentnosti lokalnih proračuna, čiji se rezultati javno objavljuju na </w:t>
      </w:r>
      <w:hyperlink r:id="rId31" w:history="1">
        <w:r w:rsidRPr="002E5315">
          <w:rPr>
            <w:rStyle w:val="Hiperveza"/>
            <w:szCs w:val="23"/>
          </w:rPr>
          <w:t>www.ijf.hr</w:t>
        </w:r>
      </w:hyperlink>
      <w:r w:rsidRPr="002E5315">
        <w:rPr>
          <w:rFonts w:ascii="Gill Sans MT" w:hAnsi="Gill Sans MT"/>
          <w:b/>
          <w:sz w:val="23"/>
          <w:szCs w:val="23"/>
        </w:rPr>
        <w:t>.</w:t>
      </w:r>
    </w:p>
    <w:p w14:paraId="556C98C8" w14:textId="77777777" w:rsidR="00633D93" w:rsidRDefault="00382178" w:rsidP="00382178">
      <w:pPr>
        <w:rPr>
          <w:szCs w:val="23"/>
        </w:rPr>
      </w:pPr>
      <w:r w:rsidRPr="002E5315">
        <w:rPr>
          <w:szCs w:val="23"/>
        </w:rPr>
        <w:t>Što se tiče ukupnih rezultata po županijama, analitičko praćenje pokazalo je da su najbolji prosječni rezultat ostvarile jedinice na području Koprivničko-križevačke županije, dok je od svih praćenih jedinica najveći broj bodova ostvarila Istarska županija (32 boda ili 91,4%) te Općina Andrijaševci, Grad Koprivnica i Grad Čakovec (s 30,5 bodova ili 87,1%). 80% i više ostvarile su i sljedeće jedinice: Općina Tompojevci; gradovi Labin, Pula, Pazin i Umag; Koprivničko-križevačka županija i Općina Đelekovec te Međimurska županija i Općina Nedelišće. S područja Virovitičko-podravske županije nijedna jedinica nije ostvarila takav postotak (najviše su ostvarile Općina Nova Bukovica sa 71,4 i Županija sa 70%)</w:t>
      </w:r>
      <w:r w:rsidR="00633D93">
        <w:rPr>
          <w:szCs w:val="23"/>
        </w:rPr>
        <w:t>.</w:t>
      </w:r>
    </w:p>
    <w:p w14:paraId="6370AFBA" w14:textId="5F86E784" w:rsidR="0085052B" w:rsidRPr="002E5315" w:rsidRDefault="00382178" w:rsidP="00382178">
      <w:pPr>
        <w:rPr>
          <w:szCs w:val="23"/>
        </w:rPr>
      </w:pPr>
      <w:r w:rsidRPr="002E5315">
        <w:rPr>
          <w:szCs w:val="23"/>
        </w:rPr>
        <w:t>Najslabiji rezultat ostvarila je Općina Špišić Bukovica (samo 14,2% objavljenih praćenih informacija), a druge jedinice na čijim je internetskim stranicama uočena najniža razina objave (ispod 30%) propisanih informacija su općine Gradina i Zdenci (27,1% - također s područja Virovitičko-podravske) te Općina Drenovci (28,6%) s područja Vukovarsko-srijemske županije, dok u preostale tri županije nijedna jedinica nije ostvarila manje od 30% (u Koprivničko-križevačkoj najniži rezultat 41,4%)</w:t>
      </w:r>
      <w:r w:rsidR="0085052B" w:rsidRPr="002E5315">
        <w:rPr>
          <w:szCs w:val="23"/>
        </w:rPr>
        <w:t>.</w:t>
      </w:r>
    </w:p>
    <w:p w14:paraId="75127099" w14:textId="557CD6B4" w:rsidR="0085052B" w:rsidRPr="002E5315" w:rsidRDefault="0085052B" w:rsidP="0085052B">
      <w:pPr>
        <w:keepNext/>
        <w:rPr>
          <w:sz w:val="20"/>
          <w:szCs w:val="20"/>
        </w:rPr>
      </w:pPr>
      <w:r w:rsidRPr="002E5315">
        <w:rPr>
          <w:sz w:val="20"/>
          <w:szCs w:val="20"/>
        </w:rPr>
        <w:lastRenderedPageBreak/>
        <w:t xml:space="preserve">Tablica </w:t>
      </w:r>
      <w:r w:rsidR="001537FA" w:rsidRPr="002E5315">
        <w:rPr>
          <w:sz w:val="20"/>
          <w:szCs w:val="20"/>
        </w:rPr>
        <w:t>7</w:t>
      </w:r>
      <w:r w:rsidRPr="002E5315">
        <w:rPr>
          <w:sz w:val="20"/>
          <w:szCs w:val="20"/>
        </w:rPr>
        <w:t>.1. Rezultati praćenja proaktivne objave u 143 JLP(R)S</w:t>
      </w:r>
    </w:p>
    <w:tbl>
      <w:tblPr>
        <w:tblStyle w:val="Svijetlosjenanje-Isticanje11"/>
        <w:tblW w:w="5000" w:type="pct"/>
        <w:jc w:val="center"/>
        <w:tblLook w:val="04A0" w:firstRow="1" w:lastRow="0" w:firstColumn="1" w:lastColumn="0" w:noHBand="0" w:noVBand="1"/>
      </w:tblPr>
      <w:tblGrid>
        <w:gridCol w:w="3236"/>
        <w:gridCol w:w="3453"/>
        <w:gridCol w:w="2599"/>
      </w:tblGrid>
      <w:tr w:rsidR="0085052B" w:rsidRPr="002E5315" w14:paraId="1A5FB08A" w14:textId="77777777" w:rsidTr="00F76685">
        <w:trPr>
          <w:cnfStyle w:val="100000000000" w:firstRow="1" w:lastRow="0" w:firstColumn="0" w:lastColumn="0" w:oddVBand="0" w:evenVBand="0" w:oddHBand="0"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1742" w:type="pct"/>
            <w:vAlign w:val="center"/>
          </w:tcPr>
          <w:p w14:paraId="5F768B5A" w14:textId="77777777" w:rsidR="0085052B" w:rsidRPr="002E5315" w:rsidRDefault="0085052B" w:rsidP="0085052B">
            <w:pPr>
              <w:jc w:val="center"/>
              <w:rPr>
                <w:bCs w:val="0"/>
                <w:color w:val="auto"/>
                <w:sz w:val="20"/>
                <w:szCs w:val="20"/>
              </w:rPr>
            </w:pPr>
            <w:r w:rsidRPr="002E5315">
              <w:rPr>
                <w:bCs w:val="0"/>
                <w:color w:val="auto"/>
                <w:sz w:val="20"/>
                <w:szCs w:val="20"/>
              </w:rPr>
              <w:t>Županija</w:t>
            </w:r>
          </w:p>
        </w:tc>
        <w:tc>
          <w:tcPr>
            <w:tcW w:w="1859" w:type="pct"/>
            <w:vAlign w:val="center"/>
          </w:tcPr>
          <w:p w14:paraId="61CCD994"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Broj praćenih jedinica</w:t>
            </w:r>
          </w:p>
        </w:tc>
        <w:tc>
          <w:tcPr>
            <w:tcW w:w="1399" w:type="pct"/>
            <w:vAlign w:val="center"/>
          </w:tcPr>
          <w:p w14:paraId="0AC3F376"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Ukupni rezultat</w:t>
            </w:r>
          </w:p>
        </w:tc>
      </w:tr>
      <w:tr w:rsidR="0085052B" w:rsidRPr="002E5315" w14:paraId="38E0BAF7" w14:textId="77777777" w:rsidTr="000C39A7">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742" w:type="pct"/>
            <w:shd w:val="clear" w:color="auto" w:fill="D9E2F3" w:themeFill="accent1" w:themeFillTint="33"/>
            <w:vAlign w:val="center"/>
          </w:tcPr>
          <w:p w14:paraId="64045A39" w14:textId="77777777" w:rsidR="0085052B" w:rsidRPr="002E5315" w:rsidRDefault="0085052B" w:rsidP="0085052B">
            <w:pPr>
              <w:jc w:val="center"/>
              <w:rPr>
                <w:b w:val="0"/>
                <w:bCs w:val="0"/>
                <w:color w:val="auto"/>
                <w:sz w:val="20"/>
                <w:szCs w:val="20"/>
              </w:rPr>
            </w:pPr>
            <w:r w:rsidRPr="002E5315">
              <w:rPr>
                <w:b w:val="0"/>
                <w:bCs w:val="0"/>
                <w:color w:val="auto"/>
                <w:sz w:val="20"/>
                <w:szCs w:val="20"/>
              </w:rPr>
              <w:t>Virovitičko-podravska</w:t>
            </w:r>
          </w:p>
        </w:tc>
        <w:tc>
          <w:tcPr>
            <w:tcW w:w="1859" w:type="pct"/>
            <w:shd w:val="clear" w:color="auto" w:fill="D9E2F3" w:themeFill="accent1" w:themeFillTint="33"/>
            <w:vAlign w:val="center"/>
          </w:tcPr>
          <w:p w14:paraId="16063079"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17</w:t>
            </w:r>
          </w:p>
        </w:tc>
        <w:tc>
          <w:tcPr>
            <w:tcW w:w="1399" w:type="pct"/>
            <w:shd w:val="clear" w:color="auto" w:fill="D9E2F3" w:themeFill="accent1" w:themeFillTint="33"/>
            <w:vAlign w:val="center"/>
          </w:tcPr>
          <w:p w14:paraId="067E5DC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53%</w:t>
            </w:r>
          </w:p>
        </w:tc>
      </w:tr>
      <w:tr w:rsidR="0085052B" w:rsidRPr="002E5315" w14:paraId="6584B15C" w14:textId="77777777" w:rsidTr="00D122B9">
        <w:trPr>
          <w:trHeight w:val="284"/>
          <w:jc w:val="center"/>
        </w:trPr>
        <w:tc>
          <w:tcPr>
            <w:cnfStyle w:val="001000000000" w:firstRow="0" w:lastRow="0" w:firstColumn="1" w:lastColumn="0" w:oddVBand="0" w:evenVBand="0" w:oddHBand="0" w:evenHBand="0" w:firstRowFirstColumn="0" w:firstRowLastColumn="0" w:lastRowFirstColumn="0" w:lastRowLastColumn="0"/>
            <w:tcW w:w="1742" w:type="pct"/>
            <w:vAlign w:val="center"/>
          </w:tcPr>
          <w:p w14:paraId="2071727E" w14:textId="77777777" w:rsidR="0085052B" w:rsidRPr="002E5315" w:rsidRDefault="0085052B" w:rsidP="0085052B">
            <w:pPr>
              <w:jc w:val="center"/>
              <w:rPr>
                <w:b w:val="0"/>
                <w:bCs w:val="0"/>
                <w:color w:val="auto"/>
                <w:sz w:val="20"/>
                <w:szCs w:val="20"/>
              </w:rPr>
            </w:pPr>
            <w:r w:rsidRPr="002E5315">
              <w:rPr>
                <w:b w:val="0"/>
                <w:bCs w:val="0"/>
                <w:color w:val="auto"/>
                <w:sz w:val="20"/>
                <w:szCs w:val="20"/>
              </w:rPr>
              <w:t>Vukovarsko-srijemska</w:t>
            </w:r>
          </w:p>
        </w:tc>
        <w:tc>
          <w:tcPr>
            <w:tcW w:w="1859" w:type="pct"/>
            <w:vAlign w:val="center"/>
          </w:tcPr>
          <w:p w14:paraId="3B4220AB"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32</w:t>
            </w:r>
          </w:p>
        </w:tc>
        <w:tc>
          <w:tcPr>
            <w:tcW w:w="1399" w:type="pct"/>
            <w:vAlign w:val="center"/>
          </w:tcPr>
          <w:p w14:paraId="72EC123D"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54,5%</w:t>
            </w:r>
          </w:p>
        </w:tc>
      </w:tr>
      <w:tr w:rsidR="0085052B" w:rsidRPr="002E5315" w14:paraId="225C0A97" w14:textId="77777777" w:rsidTr="000C39A7">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742" w:type="pct"/>
            <w:shd w:val="clear" w:color="auto" w:fill="D9E2F3" w:themeFill="accent1" w:themeFillTint="33"/>
            <w:vAlign w:val="center"/>
          </w:tcPr>
          <w:p w14:paraId="2E94F25C" w14:textId="77777777" w:rsidR="0085052B" w:rsidRPr="002E5315" w:rsidRDefault="0085052B" w:rsidP="0085052B">
            <w:pPr>
              <w:jc w:val="center"/>
              <w:rPr>
                <w:b w:val="0"/>
                <w:bCs w:val="0"/>
                <w:color w:val="auto"/>
                <w:sz w:val="20"/>
                <w:szCs w:val="20"/>
              </w:rPr>
            </w:pPr>
            <w:r w:rsidRPr="002E5315">
              <w:rPr>
                <w:b w:val="0"/>
                <w:bCs w:val="0"/>
                <w:color w:val="auto"/>
                <w:sz w:val="20"/>
                <w:szCs w:val="20"/>
              </w:rPr>
              <w:t>Istarska</w:t>
            </w:r>
          </w:p>
        </w:tc>
        <w:tc>
          <w:tcPr>
            <w:tcW w:w="1859" w:type="pct"/>
            <w:shd w:val="clear" w:color="auto" w:fill="D9E2F3" w:themeFill="accent1" w:themeFillTint="33"/>
            <w:vAlign w:val="center"/>
          </w:tcPr>
          <w:p w14:paraId="23228865"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42</w:t>
            </w:r>
          </w:p>
        </w:tc>
        <w:tc>
          <w:tcPr>
            <w:tcW w:w="1399" w:type="pct"/>
            <w:shd w:val="clear" w:color="auto" w:fill="D9E2F3" w:themeFill="accent1" w:themeFillTint="33"/>
            <w:vAlign w:val="center"/>
          </w:tcPr>
          <w:p w14:paraId="7ED73D6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58,5%</w:t>
            </w:r>
          </w:p>
        </w:tc>
      </w:tr>
      <w:tr w:rsidR="0085052B" w:rsidRPr="002E5315" w14:paraId="348379C0" w14:textId="77777777" w:rsidTr="00D122B9">
        <w:trPr>
          <w:trHeight w:val="274"/>
          <w:jc w:val="center"/>
        </w:trPr>
        <w:tc>
          <w:tcPr>
            <w:cnfStyle w:val="001000000000" w:firstRow="0" w:lastRow="0" w:firstColumn="1" w:lastColumn="0" w:oddVBand="0" w:evenVBand="0" w:oddHBand="0" w:evenHBand="0" w:firstRowFirstColumn="0" w:firstRowLastColumn="0" w:lastRowFirstColumn="0" w:lastRowLastColumn="0"/>
            <w:tcW w:w="1742" w:type="pct"/>
            <w:vAlign w:val="center"/>
          </w:tcPr>
          <w:p w14:paraId="400EF8BB" w14:textId="77777777" w:rsidR="0085052B" w:rsidRPr="002E5315" w:rsidRDefault="0085052B" w:rsidP="0085052B">
            <w:pPr>
              <w:jc w:val="center"/>
              <w:rPr>
                <w:b w:val="0"/>
                <w:bCs w:val="0"/>
                <w:color w:val="auto"/>
                <w:sz w:val="20"/>
                <w:szCs w:val="20"/>
              </w:rPr>
            </w:pPr>
            <w:r w:rsidRPr="002E5315">
              <w:rPr>
                <w:b w:val="0"/>
                <w:bCs w:val="0"/>
                <w:color w:val="auto"/>
                <w:sz w:val="20"/>
                <w:szCs w:val="20"/>
              </w:rPr>
              <w:t>Koprivničko-križevačka</w:t>
            </w:r>
          </w:p>
        </w:tc>
        <w:tc>
          <w:tcPr>
            <w:tcW w:w="1859" w:type="pct"/>
            <w:vAlign w:val="center"/>
          </w:tcPr>
          <w:p w14:paraId="1968E86A"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26</w:t>
            </w:r>
          </w:p>
        </w:tc>
        <w:tc>
          <w:tcPr>
            <w:tcW w:w="1399" w:type="pct"/>
            <w:vAlign w:val="center"/>
          </w:tcPr>
          <w:p w14:paraId="68A8F31C"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64,6%</w:t>
            </w:r>
          </w:p>
        </w:tc>
      </w:tr>
      <w:tr w:rsidR="0085052B" w:rsidRPr="002E5315" w14:paraId="62A43AEA" w14:textId="77777777" w:rsidTr="000C39A7">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742" w:type="pct"/>
            <w:shd w:val="clear" w:color="auto" w:fill="D9E2F3" w:themeFill="accent1" w:themeFillTint="33"/>
            <w:vAlign w:val="center"/>
          </w:tcPr>
          <w:p w14:paraId="32E288E7" w14:textId="77777777" w:rsidR="0085052B" w:rsidRPr="002E5315" w:rsidRDefault="0085052B" w:rsidP="0085052B">
            <w:pPr>
              <w:jc w:val="center"/>
              <w:rPr>
                <w:b w:val="0"/>
                <w:bCs w:val="0"/>
                <w:color w:val="auto"/>
                <w:sz w:val="20"/>
                <w:szCs w:val="20"/>
              </w:rPr>
            </w:pPr>
            <w:r w:rsidRPr="002E5315">
              <w:rPr>
                <w:b w:val="0"/>
                <w:bCs w:val="0"/>
                <w:color w:val="auto"/>
                <w:sz w:val="20"/>
                <w:szCs w:val="20"/>
              </w:rPr>
              <w:t xml:space="preserve">Međimurska </w:t>
            </w:r>
          </w:p>
        </w:tc>
        <w:tc>
          <w:tcPr>
            <w:tcW w:w="1859" w:type="pct"/>
            <w:shd w:val="clear" w:color="auto" w:fill="D9E2F3" w:themeFill="accent1" w:themeFillTint="33"/>
            <w:vAlign w:val="center"/>
          </w:tcPr>
          <w:p w14:paraId="37AACAB4"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26</w:t>
            </w:r>
          </w:p>
        </w:tc>
        <w:tc>
          <w:tcPr>
            <w:tcW w:w="1399" w:type="pct"/>
            <w:shd w:val="clear" w:color="auto" w:fill="D9E2F3" w:themeFill="accent1" w:themeFillTint="33"/>
            <w:vAlign w:val="center"/>
          </w:tcPr>
          <w:p w14:paraId="2E2F2B7E"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58,2%</w:t>
            </w:r>
          </w:p>
        </w:tc>
      </w:tr>
    </w:tbl>
    <w:p w14:paraId="557F15C0" w14:textId="77777777" w:rsidR="00382178" w:rsidRPr="002E5315" w:rsidRDefault="0085052B" w:rsidP="00382178">
      <w:pPr>
        <w:shd w:val="clear" w:color="auto" w:fill="FFFFFF" w:themeFill="background1"/>
        <w:spacing w:before="240"/>
        <w:rPr>
          <w:rFonts w:eastAsia="Calibri" w:cs="Arial"/>
          <w:bCs/>
          <w:szCs w:val="23"/>
        </w:rPr>
      </w:pPr>
      <w:r w:rsidRPr="002E5315">
        <w:rPr>
          <w:rFonts w:eastAsia="Calibri" w:cs="Arial"/>
          <w:bCs/>
          <w:szCs w:val="23"/>
        </w:rPr>
        <w:t xml:space="preserve">U cijelosti, na razini svih pet županija, uočena je najniža razina prosječne objave u odnosu na iste </w:t>
      </w:r>
      <w:r w:rsidR="00382178" w:rsidRPr="002E5315">
        <w:rPr>
          <w:rFonts w:eastAsia="Calibri" w:cs="Arial"/>
          <w:bCs/>
          <w:szCs w:val="23"/>
        </w:rPr>
        <w:t>informacije kao i kod drugih, ranije praćenih županija – informacije propisane točkama 5. (registri i baze podataka), 8. (popisi korisnika s visinom iznosa dodijeljenih donacija, sponzorstava, bespovratnih sredstava i drugih pomoći), 10. (ishodi natječajnih postupaka) i 12. (pravovremena objava dnevnih redova i zaključaka sa sjednice, objava informacija o formalnim radnim tijelima i o mogućnosti ostvarenja neposrednog uvida). Također, uočena je visoka razina nepravilnosti kod objave informacija iz točke 13. (neažurirana obavijest, neadekvatan format obrazaca, objava kataloga informacija i raznih pravilnika o pravu na pristup itd.).</w:t>
      </w:r>
    </w:p>
    <w:p w14:paraId="7A7825C3" w14:textId="77777777" w:rsidR="00633D93" w:rsidRDefault="00382178" w:rsidP="00382178">
      <w:pPr>
        <w:shd w:val="clear" w:color="auto" w:fill="FFFFFF" w:themeFill="background1"/>
        <w:spacing w:before="240"/>
        <w:rPr>
          <w:bCs/>
          <w:szCs w:val="23"/>
        </w:rPr>
      </w:pPr>
      <w:r w:rsidRPr="002E5315">
        <w:rPr>
          <w:bCs/>
          <w:szCs w:val="23"/>
        </w:rPr>
        <w:t>U svim županijama održane su regionalne radionice za praćene jedinice i druga tijela javne vlasti s tog područja, na kojima su predstavljeni rezultati praćenja i dane preporuke za poboljšanje stanja</w:t>
      </w:r>
      <w:r w:rsidR="00633D93">
        <w:rPr>
          <w:bCs/>
          <w:szCs w:val="23"/>
        </w:rPr>
        <w:t>.</w:t>
      </w:r>
    </w:p>
    <w:p w14:paraId="2F5396CA" w14:textId="422E04BA" w:rsidR="0085052B" w:rsidRPr="002E5315" w:rsidRDefault="0085052B" w:rsidP="001537FA">
      <w:pPr>
        <w:pStyle w:val="Naslov3"/>
      </w:pPr>
      <w:bookmarkStart w:id="73" w:name="_Toc36308973"/>
      <w:r w:rsidRPr="002E5315">
        <w:t>Objava zakona i drugih propisa koji se odnose na područje rada ministarstava</w:t>
      </w:r>
      <w:bookmarkEnd w:id="73"/>
    </w:p>
    <w:p w14:paraId="3EEF3EC8" w14:textId="77777777" w:rsidR="00382178" w:rsidRPr="002E5315" w:rsidRDefault="00382178" w:rsidP="00382178">
      <w:pPr>
        <w:rPr>
          <w:rFonts w:cs="Arial"/>
          <w:szCs w:val="23"/>
        </w:rPr>
      </w:pPr>
      <w:r w:rsidRPr="002E5315">
        <w:rPr>
          <w:rFonts w:cs="Arial"/>
          <w:szCs w:val="23"/>
        </w:rPr>
        <w:t>Sa svrhom utvrđivanja u kojoj mjeri središnja tijela državne uprave ispunjavaju zakonsku obvezu objave zakona i drugih propisa, Povjerenik je tijekom srpnja 2019. proveo praćenje službenih internetskih stranica 20 ministarstava, koja trebaju biti primjer dobre prakse drugim tijelima, poglavito tijelima koja nemaju dovoljne organizacijske i ljudske potencijale za maksimalno usklađivanje sa zakonskom obvezom proaktivne objave informacija, kako bi ta tijela, na mjestu gdje je potrebno objaviti zakone i druge propise koji se odnose na njihovo područje rada, mogla objaviti i poveznicu na rubriku internetske stranice nadležnog ministarstva.</w:t>
      </w:r>
    </w:p>
    <w:p w14:paraId="15FB54D1" w14:textId="7B4841DD" w:rsidR="0085052B" w:rsidRPr="002E5315" w:rsidRDefault="00382178" w:rsidP="00382178">
      <w:pPr>
        <w:rPr>
          <w:rFonts w:cs="Arial"/>
          <w:szCs w:val="23"/>
        </w:rPr>
      </w:pPr>
      <w:r w:rsidRPr="002E5315">
        <w:rPr>
          <w:rFonts w:cs="Arial"/>
          <w:szCs w:val="23"/>
        </w:rPr>
        <w:t xml:space="preserve">Praćenjem je utvrđeno da </w:t>
      </w:r>
      <w:r w:rsidRPr="002E5315">
        <w:rPr>
          <w:rFonts w:cs="Arial"/>
          <w:bCs/>
          <w:iCs/>
          <w:szCs w:val="23"/>
        </w:rPr>
        <w:t>sva ministarstva objavljuju zakone i druge propise, ali na različite načine</w:t>
      </w:r>
      <w:r w:rsidRPr="002E5315">
        <w:rPr>
          <w:rFonts w:cs="Arial"/>
          <w:bCs/>
          <w:szCs w:val="23"/>
        </w:rPr>
        <w:t xml:space="preserve">, s </w:t>
      </w:r>
      <w:r w:rsidRPr="002E5315">
        <w:rPr>
          <w:rFonts w:cs="Arial"/>
          <w:bCs/>
          <w:iCs/>
          <w:szCs w:val="23"/>
        </w:rPr>
        <w:t>različitom razinom preglednosti i lake dostupnosti posjetiteljima</w:t>
      </w:r>
      <w:r w:rsidRPr="002E5315">
        <w:rPr>
          <w:rFonts w:cs="Arial"/>
          <w:szCs w:val="23"/>
        </w:rPr>
        <w:t xml:space="preserve">, te je ministarstvima kod kojih su uočene nepravilnosti, </w:t>
      </w:r>
      <w:r w:rsidRPr="002E5315">
        <w:rPr>
          <w:rFonts w:cs="Arial"/>
          <w:bCs/>
          <w:iCs/>
          <w:szCs w:val="23"/>
        </w:rPr>
        <w:t>upućen dopis s preporukama za usklađenje</w:t>
      </w:r>
      <w:r w:rsidRPr="002E5315">
        <w:rPr>
          <w:rFonts w:cs="Arial"/>
          <w:szCs w:val="23"/>
        </w:rPr>
        <w:t xml:space="preserve"> (primjerice, poveznice na Narodne novine, preglednost, laka pretraživost, odgovarajuća rubrika i podrubrika itd</w:t>
      </w:r>
      <w:r w:rsidR="0085052B" w:rsidRPr="002E5315">
        <w:rPr>
          <w:rFonts w:cs="Arial"/>
          <w:szCs w:val="23"/>
        </w:rPr>
        <w:t>).</w:t>
      </w:r>
    </w:p>
    <w:p w14:paraId="65F184AE" w14:textId="6982144F" w:rsidR="0085052B" w:rsidRPr="002E5315" w:rsidRDefault="0085052B" w:rsidP="001537FA">
      <w:pPr>
        <w:pStyle w:val="Naslov3"/>
      </w:pPr>
      <w:bookmarkStart w:id="74" w:name="_Toc36308974"/>
      <w:r w:rsidRPr="002E5315">
        <w:t xml:space="preserve">Objava proračunskih dokumenata i izvješća </w:t>
      </w:r>
      <w:r w:rsidR="00CC2A41" w:rsidRPr="002E5315">
        <w:t xml:space="preserve">strukovnih </w:t>
      </w:r>
      <w:r w:rsidRPr="002E5315">
        <w:t>komora</w:t>
      </w:r>
      <w:bookmarkEnd w:id="74"/>
    </w:p>
    <w:p w14:paraId="76072C16" w14:textId="77777777" w:rsidR="00382178" w:rsidRPr="002E5315" w:rsidRDefault="00382178" w:rsidP="00382178">
      <w:pPr>
        <w:rPr>
          <w:szCs w:val="23"/>
        </w:rPr>
      </w:pPr>
      <w:bookmarkStart w:id="75" w:name="_Toc4677869"/>
      <w:r w:rsidRPr="002E5315">
        <w:rPr>
          <w:szCs w:val="23"/>
        </w:rPr>
        <w:t xml:space="preserve">U svrhu utvrđivanja razine financijske transparentnosti rada strukovnih komora, Povjerenik je u prosincu 2019. proveo analitičko praćenje proaktivne objave proračunskih dokumenata i izvješća </w:t>
      </w:r>
      <w:r w:rsidRPr="002E5315">
        <w:rPr>
          <w:szCs w:val="23"/>
        </w:rPr>
        <w:lastRenderedPageBreak/>
        <w:t>na njihovim internetskim stranicama, sukladno obvezama propisanim točkama 4., 7. i 8. članka 10., kao i propisima o proračunskom poslovanju neprofitnih organizacija.</w:t>
      </w:r>
    </w:p>
    <w:p w14:paraId="030987F4" w14:textId="77777777" w:rsidR="00633D93" w:rsidRDefault="00382178" w:rsidP="00382178">
      <w:pPr>
        <w:rPr>
          <w:rFonts w:eastAsia="Calibri" w:cs="Arial"/>
          <w:szCs w:val="23"/>
        </w:rPr>
      </w:pPr>
      <w:r w:rsidRPr="002E5315">
        <w:rPr>
          <w:rFonts w:cs="Arial"/>
          <w:szCs w:val="23"/>
        </w:rPr>
        <w:t>Praćenjem je utvrđeno da od 26 strukovnih komora, devet (35%) uopće ne objavljuje navedene financijske dokumente ni izvješća, a da od preostalih 17 komora, tek sedam (28%) objavljuje sve dokumente koji se odnose na financijsko planiranje i izvještavanje, dok 10 objavljuje samo neke od dokumenata. Tako su godišnji planovi rada dostupni na internetskim stranicama za 11strukovnih</w:t>
      </w:r>
      <w:r w:rsidR="00954DB8" w:rsidRPr="002E5315">
        <w:rPr>
          <w:rFonts w:cs="Arial"/>
          <w:szCs w:val="23"/>
        </w:rPr>
        <w:t xml:space="preserve"> </w:t>
      </w:r>
      <w:r w:rsidRPr="002E5315">
        <w:rPr>
          <w:rFonts w:cs="Arial"/>
          <w:szCs w:val="23"/>
        </w:rPr>
        <w:t>komora (42%), a godišnji financijski planovi i financijska izvješća za njih (46%), dok tri komore (11,5%) u odnosu na financijsko izvještavanje upućuju na poveznicu na Registar neprofitnih organizacija u kojem se objavljuju financijska izvješća (izvješća o prihodima i rashodima i bilanca), što se može smatrati tek djelomičnim ispunjavanjem obveze proaktivne objave. Također, 12 komora na svojim stranicama ima dostupne financijske planove iz prethodnih godina, od čega 9 (35%) za razdoblje od pet i više godina. Od 14 komora koje imaju obvezu objave revizijskih izvješća, tu obvezu ispunjava 11 komora (79%), dok su informacije o dodijeljenim bespovratnim sredstvima, sponzorstvima, donacijama ili drugim pomoćima dostupni na tek 4 od 26 stranica (15%)</w:t>
      </w:r>
      <w:r w:rsidR="00633D93">
        <w:rPr>
          <w:rFonts w:eastAsia="Calibri" w:cs="Arial"/>
          <w:szCs w:val="23"/>
        </w:rPr>
        <w:t>.</w:t>
      </w:r>
    </w:p>
    <w:p w14:paraId="6F9EAC48" w14:textId="1BDCDCA6" w:rsidR="0085052B" w:rsidRPr="002E5315" w:rsidRDefault="00382178" w:rsidP="00382178">
      <w:pPr>
        <w:rPr>
          <w:rFonts w:cs="Arial"/>
          <w:szCs w:val="23"/>
        </w:rPr>
      </w:pPr>
      <w:r w:rsidRPr="002E5315">
        <w:rPr>
          <w:rFonts w:cs="Arial"/>
          <w:szCs w:val="23"/>
        </w:rPr>
        <w:t>Uočeno je i da financijski dokumenti i izvješća komora nisu pregledno sistematizirani i grupirani u posebnoj rubrici, odnosno lako dostupni, a česta je praksa komora da programe i planove rada, financijske planove, financijska i revizorska izvješća objavljuju kao priloge uz materijale za sjednice tijela upravljanja. Posebno treba naglasiti da</w:t>
      </w:r>
      <w:r w:rsidRPr="002E5315">
        <w:rPr>
          <w:rFonts w:cs="Arial"/>
          <w:i/>
          <w:iCs/>
          <w:color w:val="00B050"/>
          <w:szCs w:val="23"/>
        </w:rPr>
        <w:t xml:space="preserve"> </w:t>
      </w:r>
      <w:r w:rsidRPr="002E5315">
        <w:rPr>
          <w:rFonts w:cs="Arial"/>
          <w:bCs/>
          <w:iCs/>
          <w:szCs w:val="23"/>
        </w:rPr>
        <w:t>od dokumenata koji se prikazuju u tabličnom obliku (financijski plan, financijska izvješća), samo Hrvatska komora inženjera građevinarstva objavljuje u strojno čitljivom, XLS formatu</w:t>
      </w:r>
      <w:r w:rsidR="0085052B" w:rsidRPr="002E5315">
        <w:rPr>
          <w:rFonts w:cs="Arial"/>
          <w:szCs w:val="23"/>
        </w:rPr>
        <w:t>.</w:t>
      </w:r>
    </w:p>
    <w:p w14:paraId="35442A09" w14:textId="1AC5600C" w:rsidR="0085052B" w:rsidRPr="002E5315" w:rsidRDefault="0085052B" w:rsidP="001537FA">
      <w:pPr>
        <w:pStyle w:val="Naslov2"/>
      </w:pPr>
      <w:bookmarkStart w:id="76" w:name="_Toc36308975"/>
      <w:r w:rsidRPr="002E5315">
        <w:t xml:space="preserve">Dostava informacija u Središnji katalog službenih dokumenata </w:t>
      </w:r>
      <w:bookmarkEnd w:id="75"/>
      <w:r w:rsidRPr="002E5315">
        <w:t>R</w:t>
      </w:r>
      <w:r w:rsidR="00CC2A41" w:rsidRPr="002E5315">
        <w:t xml:space="preserve">epublike </w:t>
      </w:r>
      <w:r w:rsidRPr="002E5315">
        <w:t>H</w:t>
      </w:r>
      <w:r w:rsidR="00CC2A41" w:rsidRPr="002E5315">
        <w:t>rvatske</w:t>
      </w:r>
      <w:bookmarkEnd w:id="76"/>
    </w:p>
    <w:p w14:paraId="4ED501DD" w14:textId="77777777" w:rsidR="00633D93" w:rsidRDefault="00382178" w:rsidP="00382178">
      <w:pPr>
        <w:rPr>
          <w:szCs w:val="23"/>
        </w:rPr>
      </w:pPr>
      <w:r w:rsidRPr="002E5315">
        <w:rPr>
          <w:szCs w:val="23"/>
        </w:rPr>
        <w:t xml:space="preserve">Kao posebnu obvezu proaktivne objave informacija, dio tijela javne vlasti (tijela državne uprave i druga državna tijela, JLP(R)S, pravne osobe koje </w:t>
      </w:r>
      <w:r w:rsidRPr="002E5315">
        <w:rPr>
          <w:rFonts w:cs="Arial"/>
          <w:szCs w:val="23"/>
        </w:rPr>
        <w:t>RH osniva</w:t>
      </w:r>
      <w:r w:rsidRPr="002E5315">
        <w:rPr>
          <w:szCs w:val="23"/>
        </w:rPr>
        <w:t xml:space="preserve"> zakonom ili podzakonskim propisom ili čije osnivanje zakonom izričito predviđa) ima obvezu dostave pojedinih dokumenata u </w:t>
      </w:r>
      <w:hyperlink r:id="rId32" w:history="1">
        <w:r w:rsidRPr="002E5315">
          <w:rPr>
            <w:rStyle w:val="Hiperveza"/>
            <w:szCs w:val="23"/>
            <w:u w:val="none"/>
          </w:rPr>
          <w:t xml:space="preserve">Središnji katalog službenih dokumenata </w:t>
        </w:r>
        <w:r w:rsidRPr="002E5315">
          <w:rPr>
            <w:rFonts w:cs="Arial"/>
            <w:szCs w:val="23"/>
          </w:rPr>
          <w:t xml:space="preserve">RH, </w:t>
        </w:r>
      </w:hyperlink>
      <w:r w:rsidRPr="002E5315">
        <w:rPr>
          <w:szCs w:val="23"/>
        </w:rPr>
        <w:t>radi njihove trajne dostupnosti</w:t>
      </w:r>
      <w:r w:rsidR="00633D93">
        <w:rPr>
          <w:szCs w:val="23"/>
        </w:rPr>
        <w:t>.</w:t>
      </w:r>
    </w:p>
    <w:p w14:paraId="14E678A5" w14:textId="5AE99A65" w:rsidR="0085052B" w:rsidRPr="002E5315" w:rsidRDefault="00382178" w:rsidP="00382178">
      <w:pPr>
        <w:rPr>
          <w:szCs w:val="23"/>
        </w:rPr>
      </w:pPr>
      <w:r w:rsidRPr="002E5315">
        <w:rPr>
          <w:szCs w:val="23"/>
        </w:rPr>
        <w:t>Iz Izvješća o provedbi članka 10.a ZPPI-ja za 2019., kojeg je SDURDD dostavio Povjereniku, vidljivo je da je u 2019. u Središnjem katalogu objavljeno 13.016 novih dokumenata (1.788 novih pravnih propisa i međunarodnih ugovora, 4.584 svezaka službenih glasnika JLP(R)S i 6.644 ostalih dokumenata i publikacija</w:t>
      </w:r>
      <w:r w:rsidR="0085052B" w:rsidRPr="002E5315">
        <w:rPr>
          <w:szCs w:val="23"/>
        </w:rPr>
        <w:t>).</w:t>
      </w:r>
    </w:p>
    <w:p w14:paraId="68AF1287" w14:textId="53A7B106" w:rsidR="0085052B" w:rsidRPr="002E5315" w:rsidRDefault="0085052B" w:rsidP="001537FA">
      <w:pPr>
        <w:pStyle w:val="Naslov1"/>
      </w:pPr>
      <w:bookmarkStart w:id="77" w:name="_Toc4677870"/>
      <w:bookmarkStart w:id="78" w:name="_Toc36308976"/>
      <w:r w:rsidRPr="002E5315">
        <w:t>Savjetovanje s javnošću</w:t>
      </w:r>
      <w:bookmarkEnd w:id="77"/>
      <w:r w:rsidRPr="002E5315">
        <w:t xml:space="preserve"> tijela javne vlasti</w:t>
      </w:r>
      <w:bookmarkEnd w:id="78"/>
    </w:p>
    <w:p w14:paraId="3A4299D0" w14:textId="7CEABC4A" w:rsidR="00382178" w:rsidRPr="002E5315" w:rsidRDefault="00382178" w:rsidP="00382178">
      <w:pPr>
        <w:rPr>
          <w:szCs w:val="23"/>
        </w:rPr>
      </w:pPr>
      <w:r w:rsidRPr="002E5315">
        <w:rPr>
          <w:szCs w:val="23"/>
        </w:rPr>
        <w:t xml:space="preserve">Kao i prethodnih godina, Povjerenik </w:t>
      </w:r>
      <w:r w:rsidR="005E2114">
        <w:rPr>
          <w:szCs w:val="23"/>
        </w:rPr>
        <w:t>je nadzirao</w:t>
      </w:r>
      <w:r w:rsidRPr="002E5315">
        <w:rPr>
          <w:szCs w:val="23"/>
        </w:rPr>
        <w:t xml:space="preserve"> primjenu zakonske obveze provedbe savjetovanja s javnošću – i kvalitativno i kvantitativno – u postupku pripreme zakona, podzakonskih akata, strateških i planskih dokumenata te općih akata kad se njima utječe na interese korisnika. Praćenje se provodi na godišnjoj razini i prema potrebi.</w:t>
      </w:r>
      <w:r w:rsidR="00954DB8" w:rsidRPr="002E5315">
        <w:rPr>
          <w:szCs w:val="23"/>
        </w:rPr>
        <w:t xml:space="preserve"> </w:t>
      </w:r>
      <w:r w:rsidRPr="002E5315">
        <w:rPr>
          <w:szCs w:val="23"/>
        </w:rPr>
        <w:t xml:space="preserve">U slučajevima </w:t>
      </w:r>
      <w:r w:rsidRPr="002E5315">
        <w:rPr>
          <w:szCs w:val="23"/>
        </w:rPr>
        <w:lastRenderedPageBreak/>
        <w:t xml:space="preserve">uočenog odstupanja od zakonske odredbe, Povjerenik se obraća tijelima s pozivom da usklade svoja postupanja s odredbama ZPPI-ja. Osim analitičkog praćenja, Povjerenik postupa i po predstavkama korisnika kojima ukazuju na nepravilnosti u provedbi savjetovanja. Odgovarajući na upite tijela koja su obveznici provedbe savjetovanja i postupanjem po predstavkama korisnika, Povjerenik doprinosi standardizaciji primjene ove odredbe, s obzirom da stipulacija zakonske odredbe o trajanju savjetovanja "u pravilu 30 dana" ostavlja prostor za različito tumačenje. Povrh toga, aktivno sudjeluje </w:t>
      </w:r>
      <w:r w:rsidR="005E2114">
        <w:rPr>
          <w:szCs w:val="23"/>
        </w:rPr>
        <w:t>u</w:t>
      </w:r>
      <w:r w:rsidRPr="002E5315">
        <w:rPr>
          <w:szCs w:val="23"/>
        </w:rPr>
        <w:t xml:space="preserve"> </w:t>
      </w:r>
      <w:r w:rsidR="005E2114">
        <w:rPr>
          <w:szCs w:val="23"/>
        </w:rPr>
        <w:t>educiranju</w:t>
      </w:r>
      <w:r w:rsidRPr="002E5315">
        <w:rPr>
          <w:szCs w:val="23"/>
        </w:rPr>
        <w:t xml:space="preserve"> službenika za informiranje i koordinatora provedbe savjetovanja.</w:t>
      </w:r>
    </w:p>
    <w:p w14:paraId="42372FC0" w14:textId="28139383" w:rsidR="0085052B" w:rsidRPr="002E5315" w:rsidRDefault="00382178" w:rsidP="00382178">
      <w:pPr>
        <w:rPr>
          <w:szCs w:val="23"/>
        </w:rPr>
      </w:pPr>
      <w:r w:rsidRPr="002E5315">
        <w:rPr>
          <w:szCs w:val="23"/>
        </w:rPr>
        <w:t>Za prikaz provedbe savjetovanja korišteni su podaci koje su dostavila tijela javne vlasti, podaci o postupanju Povjerenika prema zaprimljenim predstavkama korisnika, podaci iz analitičkog praćenja Povjerenika o provedbi savjetovanja s javnošću u tijelima državne uprave i uredima Vlade RH u 2019., podaci prikupljeni analitičkim praćenjem na lokalnoj razini i podaci Ureda za zakonodavstvo Vlade RH o provedenim savjetovanjima putem portala e-Savjetovanja</w:t>
      </w:r>
      <w:r w:rsidR="0085052B" w:rsidRPr="002E5315">
        <w:rPr>
          <w:szCs w:val="23"/>
        </w:rPr>
        <w:t>.</w:t>
      </w:r>
    </w:p>
    <w:p w14:paraId="5A2FC22C" w14:textId="3C97DB7F" w:rsidR="0085052B" w:rsidRPr="002E5315" w:rsidRDefault="0085052B" w:rsidP="001537FA">
      <w:pPr>
        <w:pStyle w:val="Naslov2"/>
      </w:pPr>
      <w:bookmarkStart w:id="79" w:name="_Toc36308977"/>
      <w:r w:rsidRPr="002E5315">
        <w:t>Izvješća tijela javne vlasti o postupcima savjetovanja</w:t>
      </w:r>
      <w:r w:rsidR="00CC2A41" w:rsidRPr="002E5315">
        <w:t xml:space="preserve"> s javnošću</w:t>
      </w:r>
      <w:bookmarkEnd w:id="79"/>
    </w:p>
    <w:p w14:paraId="753901A0" w14:textId="0CD16A8D" w:rsidR="0085052B" w:rsidRPr="002E5315" w:rsidRDefault="0085052B" w:rsidP="001537FA">
      <w:pPr>
        <w:pStyle w:val="Naslov3"/>
      </w:pPr>
      <w:bookmarkStart w:id="80" w:name="_Toc36308978"/>
      <w:r w:rsidRPr="002E5315">
        <w:t>Objava godišnjeg plana savjetovanja s javnošću</w:t>
      </w:r>
      <w:bookmarkEnd w:id="80"/>
    </w:p>
    <w:p w14:paraId="690F92EE" w14:textId="544668B4" w:rsidR="00382178" w:rsidRPr="002E5315" w:rsidRDefault="00382178" w:rsidP="00382178">
      <w:pPr>
        <w:rPr>
          <w:bCs/>
          <w:iCs/>
          <w:szCs w:val="23"/>
        </w:rPr>
      </w:pPr>
      <w:r w:rsidRPr="002E5315">
        <w:rPr>
          <w:szCs w:val="23"/>
        </w:rPr>
        <w:t xml:space="preserve">Analiza dostavljenih podataka tijela javne vlasti prikupljenih putem aplikacije za podnošenje godišnjeg izvješća, ukazuje da se </w:t>
      </w:r>
      <w:r w:rsidRPr="002E5315">
        <w:rPr>
          <w:iCs/>
          <w:szCs w:val="23"/>
        </w:rPr>
        <w:t>30,79 % tijela javne vlasti koja su dostavila podatke prepoznaju kao obveznici provedbe savjetovanja</w:t>
      </w:r>
      <w:r w:rsidRPr="002E5315">
        <w:rPr>
          <w:szCs w:val="23"/>
        </w:rPr>
        <w:t xml:space="preserve">, što predstavlja značajno povećanje u odnosnu na prethodnu godinu kad je provedbu savjetovanja s javnošću kao svoju obvezu prepoznalo svega 16,56 % tijela koja su dostavila izvješće. Analogno, među tijelima koja su dostavila izvješće, bilo </w:t>
      </w:r>
      <w:r w:rsidRPr="002E5315">
        <w:rPr>
          <w:iCs/>
          <w:szCs w:val="23"/>
        </w:rPr>
        <w:t>je</w:t>
      </w:r>
      <w:r w:rsidRPr="002E5315">
        <w:rPr>
          <w:iCs/>
          <w:color w:val="00B050"/>
          <w:szCs w:val="23"/>
        </w:rPr>
        <w:t xml:space="preserve"> </w:t>
      </w:r>
      <w:r w:rsidRPr="002E5315">
        <w:rPr>
          <w:bCs/>
          <w:iCs/>
          <w:szCs w:val="23"/>
        </w:rPr>
        <w:t>69,21% onih koji smatraju da nisu u obvezi provedbe savjetovanja s javnošću, jer ne donose akte kojima se utječe na interese korisnika.</w:t>
      </w:r>
    </w:p>
    <w:p w14:paraId="318CF573" w14:textId="77777777" w:rsidR="00633D93" w:rsidRDefault="00382178" w:rsidP="00382178">
      <w:pPr>
        <w:rPr>
          <w:szCs w:val="23"/>
        </w:rPr>
      </w:pPr>
      <w:r w:rsidRPr="002E5315">
        <w:rPr>
          <w:szCs w:val="23"/>
        </w:rPr>
        <w:t>Polazište za ispunjavanje ove zakonske obveze je izrada i objava plana savjetovanja s javnošću za sljedeću kalendarsku godinu, koji sadrži popis akata koji se planiraju donijeti u sljedećoj godini,</w:t>
      </w:r>
      <w:r w:rsidR="00954DB8" w:rsidRPr="002E5315">
        <w:rPr>
          <w:szCs w:val="23"/>
        </w:rPr>
        <w:t xml:space="preserve"> </w:t>
      </w:r>
      <w:r w:rsidRPr="002E5315">
        <w:rPr>
          <w:szCs w:val="23"/>
        </w:rPr>
        <w:t>orijentacijski termin provedbe savjetovanja i planiran kvartal donošenja akta, kao i druge predviđene načine provedbe savjetovanja s javnošću. Vezano uz obvezu objave plana savjetovanja</w:t>
      </w:r>
      <w:r w:rsidRPr="002E5315">
        <w:rPr>
          <w:i/>
          <w:szCs w:val="23"/>
        </w:rPr>
        <w:t>,</w:t>
      </w:r>
      <w:r w:rsidRPr="002E5315">
        <w:rPr>
          <w:szCs w:val="23"/>
        </w:rPr>
        <w:t xml:space="preserve"> iz zaprimljenih podataka proizlazi da je razina ispunjenja ove obveze bitno povećana za pojedine grupe tijela - </w:t>
      </w:r>
      <w:r w:rsidRPr="002E5315">
        <w:rPr>
          <w:b/>
          <w:szCs w:val="23"/>
        </w:rPr>
        <w:t xml:space="preserve">plan savjetovanja objavilo je 45,51% tijela </w:t>
      </w:r>
      <w:r w:rsidRPr="002E5315">
        <w:rPr>
          <w:szCs w:val="23"/>
        </w:rPr>
        <w:t>koja su prijavila da su u 2019. provodila savjetovanja s javnošću, što je podatak koji zorno ukazuje na potrebu daljnjeg inzistiranja na provedbi svih koraka u ispunjavanju ove zakonske obveze</w:t>
      </w:r>
      <w:r w:rsidR="00633D93">
        <w:rPr>
          <w:szCs w:val="23"/>
        </w:rPr>
        <w:t>.</w:t>
      </w:r>
    </w:p>
    <w:p w14:paraId="1B31B999" w14:textId="5CB547B6" w:rsidR="0085052B" w:rsidRPr="002E5315" w:rsidRDefault="0085052B" w:rsidP="0085052B">
      <w:pPr>
        <w:keepNext/>
        <w:rPr>
          <w:sz w:val="20"/>
          <w:szCs w:val="20"/>
        </w:rPr>
      </w:pPr>
      <w:r w:rsidRPr="002E5315">
        <w:rPr>
          <w:sz w:val="20"/>
          <w:szCs w:val="20"/>
        </w:rPr>
        <w:lastRenderedPageBreak/>
        <w:t xml:space="preserve">Slika </w:t>
      </w:r>
      <w:r w:rsidR="001537FA" w:rsidRPr="002E5315">
        <w:rPr>
          <w:sz w:val="20"/>
          <w:szCs w:val="20"/>
        </w:rPr>
        <w:t>8</w:t>
      </w:r>
      <w:r w:rsidRPr="002E5315">
        <w:rPr>
          <w:sz w:val="20"/>
          <w:szCs w:val="20"/>
        </w:rPr>
        <w:t>.</w:t>
      </w:r>
      <w:r w:rsidR="001537FA" w:rsidRPr="002E5315">
        <w:rPr>
          <w:sz w:val="20"/>
          <w:szCs w:val="20"/>
        </w:rPr>
        <w:t>1</w:t>
      </w:r>
      <w:r w:rsidRPr="002E5315">
        <w:rPr>
          <w:sz w:val="20"/>
          <w:szCs w:val="20"/>
        </w:rPr>
        <w:t>. Objava godišnjeg plana savjetovanja s javnošću u 2019. godini</w:t>
      </w:r>
    </w:p>
    <w:p w14:paraId="5C319952" w14:textId="185E6D74" w:rsidR="0085052B" w:rsidRPr="002E5315" w:rsidRDefault="0085052B" w:rsidP="001537FA">
      <w:pPr>
        <w:keepNext/>
        <w:rPr>
          <w:sz w:val="20"/>
          <w:szCs w:val="20"/>
        </w:rPr>
      </w:pPr>
      <w:r w:rsidRPr="002E5315">
        <w:rPr>
          <w:noProof/>
        </w:rPr>
        <w:drawing>
          <wp:inline distT="0" distB="0" distL="0" distR="0" wp14:anchorId="644BBD38" wp14:editId="5D57EA8B">
            <wp:extent cx="5819775" cy="3933825"/>
            <wp:effectExtent l="0" t="0" r="0" b="0"/>
            <wp:docPr id="21" name="Chart 1">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5D3C42A" w14:textId="6205ECE8" w:rsidR="0085052B" w:rsidRPr="002E5315" w:rsidRDefault="0085052B" w:rsidP="001537FA">
      <w:pPr>
        <w:pStyle w:val="Naslov3"/>
      </w:pPr>
      <w:bookmarkStart w:id="81" w:name="_Toc36308979"/>
      <w:r w:rsidRPr="002E5315">
        <w:t>Provedena savjetovanja s javnošću</w:t>
      </w:r>
      <w:bookmarkEnd w:id="81"/>
    </w:p>
    <w:p w14:paraId="2B3CD0EE" w14:textId="77777777" w:rsidR="00633D93" w:rsidRDefault="00382178" w:rsidP="0085052B">
      <w:pPr>
        <w:rPr>
          <w:szCs w:val="23"/>
        </w:rPr>
      </w:pPr>
      <w:r w:rsidRPr="002E5315">
        <w:rPr>
          <w:szCs w:val="23"/>
        </w:rPr>
        <w:t xml:space="preserve">Prema dostavljenim podacima, tijela javne vlasti su tijekom 2019. </w:t>
      </w:r>
      <w:r w:rsidRPr="002E5315">
        <w:rPr>
          <w:b/>
          <w:szCs w:val="23"/>
        </w:rPr>
        <w:t>provela ukupno 5.313 savjetovanja, odnosno 27,67 % više u odnosu na 2018.,</w:t>
      </w:r>
      <w:r w:rsidRPr="002E5315">
        <w:rPr>
          <w:szCs w:val="23"/>
        </w:rPr>
        <w:t xml:space="preserve"> kad su tijela izvijestila da su provela 4.544 savjetovanja, a 91,18% više nego 2017. kad je provedeno 2.779 savjetovanja</w:t>
      </w:r>
      <w:r w:rsidR="0085052B" w:rsidRPr="002E5315">
        <w:rPr>
          <w:szCs w:val="23"/>
        </w:rPr>
        <w:t>. (</w:t>
      </w:r>
      <w:r w:rsidR="001537FA" w:rsidRPr="002E5315">
        <w:rPr>
          <w:szCs w:val="23"/>
        </w:rPr>
        <w:t>S</w:t>
      </w:r>
      <w:r w:rsidR="0085052B" w:rsidRPr="002E5315">
        <w:rPr>
          <w:szCs w:val="23"/>
        </w:rPr>
        <w:t xml:space="preserve">lika </w:t>
      </w:r>
      <w:r w:rsidR="001537FA" w:rsidRPr="002E5315">
        <w:rPr>
          <w:szCs w:val="23"/>
        </w:rPr>
        <w:t>8</w:t>
      </w:r>
      <w:r w:rsidR="0085052B" w:rsidRPr="002E5315">
        <w:rPr>
          <w:szCs w:val="23"/>
        </w:rPr>
        <w:t>.</w:t>
      </w:r>
      <w:r w:rsidR="001537FA" w:rsidRPr="002E5315">
        <w:rPr>
          <w:szCs w:val="23"/>
        </w:rPr>
        <w:t>2</w:t>
      </w:r>
      <w:r w:rsidR="0085052B" w:rsidRPr="002E5315">
        <w:rPr>
          <w:szCs w:val="23"/>
        </w:rPr>
        <w:t>.)</w:t>
      </w:r>
      <w:r w:rsidR="00633D93">
        <w:rPr>
          <w:szCs w:val="23"/>
        </w:rPr>
        <w:t>.</w:t>
      </w:r>
    </w:p>
    <w:p w14:paraId="4028DDF9" w14:textId="07B0F893" w:rsidR="0085052B" w:rsidRPr="002E5315" w:rsidRDefault="0085052B" w:rsidP="003D1A7D">
      <w:pPr>
        <w:keepNext/>
        <w:spacing w:before="240"/>
        <w:rPr>
          <w:sz w:val="20"/>
          <w:szCs w:val="20"/>
        </w:rPr>
      </w:pPr>
      <w:r w:rsidRPr="002E5315">
        <w:rPr>
          <w:sz w:val="20"/>
          <w:szCs w:val="20"/>
        </w:rPr>
        <w:t xml:space="preserve">Slika </w:t>
      </w:r>
      <w:r w:rsidR="001537FA" w:rsidRPr="002E5315">
        <w:rPr>
          <w:sz w:val="20"/>
          <w:szCs w:val="20"/>
        </w:rPr>
        <w:t>8.2</w:t>
      </w:r>
      <w:r w:rsidRPr="002E5315">
        <w:rPr>
          <w:sz w:val="20"/>
          <w:szCs w:val="20"/>
        </w:rPr>
        <w:t>.</w:t>
      </w:r>
      <w:r w:rsidR="00754B2D" w:rsidRPr="002E5315">
        <w:rPr>
          <w:sz w:val="20"/>
          <w:szCs w:val="20"/>
        </w:rPr>
        <w:t xml:space="preserve"> </w:t>
      </w:r>
      <w:r w:rsidRPr="002E5315">
        <w:rPr>
          <w:sz w:val="20"/>
          <w:szCs w:val="20"/>
        </w:rPr>
        <w:t xml:space="preserve">Broj povedenih savjetovanja 2017-2019 </w:t>
      </w:r>
    </w:p>
    <w:p w14:paraId="7AD85FF6" w14:textId="77777777" w:rsidR="0085052B" w:rsidRPr="002E5315" w:rsidRDefault="0085052B" w:rsidP="001537FA">
      <w:pPr>
        <w:jc w:val="center"/>
        <w:rPr>
          <w:szCs w:val="23"/>
        </w:rPr>
      </w:pPr>
      <w:r w:rsidRPr="002E5315">
        <w:rPr>
          <w:noProof/>
        </w:rPr>
        <w:drawing>
          <wp:inline distT="0" distB="0" distL="0" distR="0" wp14:anchorId="471F3AD0" wp14:editId="21E5481C">
            <wp:extent cx="5762625" cy="2619375"/>
            <wp:effectExtent l="0" t="0" r="0" b="0"/>
            <wp:docPr id="14" name="Chart 3">
              <a:extLst xmlns:a="http://schemas.openxmlformats.org/drawingml/2006/main">
                <a:ext uri="{FF2B5EF4-FFF2-40B4-BE49-F238E27FC236}">
                  <a16:creationId xmlns:a16="http://schemas.microsoft.com/office/drawing/2014/main"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B3607C6" w14:textId="16AD0AF7" w:rsidR="0085052B" w:rsidRPr="002E5315" w:rsidRDefault="00382178" w:rsidP="0085052B">
      <w:pPr>
        <w:rPr>
          <w:szCs w:val="23"/>
        </w:rPr>
      </w:pPr>
      <w:r w:rsidRPr="002E5315">
        <w:rPr>
          <w:szCs w:val="23"/>
        </w:rPr>
        <w:lastRenderedPageBreak/>
        <w:t xml:space="preserve">Prema kategorijama tijela, </w:t>
      </w:r>
      <w:r w:rsidRPr="002E5315">
        <w:rPr>
          <w:b/>
          <w:szCs w:val="23"/>
        </w:rPr>
        <w:t>najviše savjetovanja provele su JLP(R)S – 3.986, odnosno 20,67% više nego 2018</w:t>
      </w:r>
      <w:r w:rsidRPr="002E5315">
        <w:rPr>
          <w:szCs w:val="23"/>
        </w:rPr>
        <w:t>., kad ih je provedeno 3.303. Tijela državne uprave provela su 1020 savjetovanja, odnosno 9,32% više nego 2018., kad je provedeno 933 savjetovanja. Agencije i druge pravne osobe s javnim ovlastima provele su 109 savjetovanja, što je malo više nego 2018. kad su provela 93</w:t>
      </w:r>
      <w:r w:rsidR="00954DB8" w:rsidRPr="002E5315">
        <w:rPr>
          <w:szCs w:val="23"/>
        </w:rPr>
        <w:t xml:space="preserve"> </w:t>
      </w:r>
      <w:r w:rsidRPr="002E5315">
        <w:rPr>
          <w:szCs w:val="23"/>
        </w:rPr>
        <w:t>savjetovanja. Neznatan trend smanjenja broja provedenih savjetovanja vidljiv je u kategoriji ustanova, na razini trgovačkih društava i ostalih pravnih osoba s javnim ovlastima</w:t>
      </w:r>
      <w:r w:rsidR="0085052B" w:rsidRPr="002E5315">
        <w:rPr>
          <w:szCs w:val="23"/>
        </w:rPr>
        <w:t>.</w:t>
      </w:r>
    </w:p>
    <w:p w14:paraId="02D4F6B3" w14:textId="2CA416E4" w:rsidR="0085052B" w:rsidRPr="002E5315" w:rsidRDefault="0085052B" w:rsidP="003D1A7D">
      <w:pPr>
        <w:keepNext/>
        <w:spacing w:before="240"/>
        <w:rPr>
          <w:sz w:val="20"/>
          <w:szCs w:val="20"/>
        </w:rPr>
      </w:pPr>
      <w:r w:rsidRPr="002E5315">
        <w:rPr>
          <w:sz w:val="20"/>
          <w:szCs w:val="20"/>
        </w:rPr>
        <w:t xml:space="preserve">Slika </w:t>
      </w:r>
      <w:r w:rsidR="001537FA" w:rsidRPr="002E5315">
        <w:rPr>
          <w:sz w:val="20"/>
          <w:szCs w:val="20"/>
        </w:rPr>
        <w:t>8</w:t>
      </w:r>
      <w:r w:rsidRPr="002E5315">
        <w:rPr>
          <w:sz w:val="20"/>
          <w:szCs w:val="20"/>
        </w:rPr>
        <w:t>.</w:t>
      </w:r>
      <w:r w:rsidR="001537FA" w:rsidRPr="002E5315">
        <w:rPr>
          <w:sz w:val="20"/>
          <w:szCs w:val="20"/>
        </w:rPr>
        <w:t>3</w:t>
      </w:r>
      <w:r w:rsidRPr="002E5315">
        <w:rPr>
          <w:sz w:val="20"/>
          <w:szCs w:val="20"/>
        </w:rPr>
        <w:t>. Broj provedenih savjetovanja prema kategoriji tijela – usporedba 2017. -2019.</w:t>
      </w:r>
    </w:p>
    <w:p w14:paraId="50C3369A" w14:textId="498A64DB" w:rsidR="0085052B" w:rsidRPr="002E5315" w:rsidRDefault="0085052B" w:rsidP="00382178">
      <w:pPr>
        <w:jc w:val="center"/>
        <w:rPr>
          <w:szCs w:val="23"/>
        </w:rPr>
      </w:pPr>
      <w:r w:rsidRPr="002E5315">
        <w:rPr>
          <w:noProof/>
        </w:rPr>
        <w:drawing>
          <wp:inline distT="0" distB="0" distL="0" distR="0" wp14:anchorId="2F98CBCC" wp14:editId="5E1440A0">
            <wp:extent cx="5724525" cy="4838700"/>
            <wp:effectExtent l="0" t="0" r="0" b="0"/>
            <wp:docPr id="15" name="Chart 4">
              <a:extLst xmlns:a="http://schemas.openxmlformats.org/drawingml/2006/main">
                <a:ext uri="{FF2B5EF4-FFF2-40B4-BE49-F238E27FC236}">
                  <a16:creationId xmlns:a16="http://schemas.microsoft.com/office/drawing/2014/main" id="{3B4C3D88-73E2-468D-ACC6-BE9DA91831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C1287E3" w14:textId="591D8A61" w:rsidR="0085052B" w:rsidRPr="002E5315" w:rsidRDefault="00382178" w:rsidP="00382178">
      <w:pPr>
        <w:spacing w:before="240"/>
        <w:rPr>
          <w:szCs w:val="23"/>
        </w:rPr>
      </w:pPr>
      <w:r w:rsidRPr="002E5315">
        <w:rPr>
          <w:szCs w:val="23"/>
        </w:rPr>
        <w:t>Ne manje važno, kao i prethodnih godina – tijela javne vlasti su osim internetskog savjetovanja, provodila i druge oblike savjetovanja s javnošću - javne rasprave, rad u okviru radnih skupina, prikupljanje odgovora na strukturirane mailove za ključne dionike i dr</w:t>
      </w:r>
      <w:r w:rsidR="0085052B" w:rsidRPr="002E5315">
        <w:rPr>
          <w:szCs w:val="23"/>
        </w:rPr>
        <w:t>.</w:t>
      </w:r>
    </w:p>
    <w:p w14:paraId="1DF3F66B" w14:textId="0781E697" w:rsidR="0085052B" w:rsidRPr="002E5315" w:rsidRDefault="0085052B" w:rsidP="001537FA">
      <w:pPr>
        <w:pStyle w:val="Naslov3"/>
      </w:pPr>
      <w:bookmarkStart w:id="82" w:name="_Toc36308980"/>
      <w:r w:rsidRPr="002E5315">
        <w:t>Trajanje savjetovanja s javnošću</w:t>
      </w:r>
      <w:bookmarkEnd w:id="82"/>
    </w:p>
    <w:p w14:paraId="37FE7B61" w14:textId="77777777" w:rsidR="00633D93" w:rsidRDefault="007E178A" w:rsidP="007E178A">
      <w:pPr>
        <w:tabs>
          <w:tab w:val="left" w:pos="3915"/>
        </w:tabs>
        <w:rPr>
          <w:szCs w:val="23"/>
        </w:rPr>
      </w:pPr>
      <w:r w:rsidRPr="002E5315">
        <w:rPr>
          <w:szCs w:val="23"/>
        </w:rPr>
        <w:t xml:space="preserve">Ako analiziramo podatke o trajanju savjetovanja, podaci pokazuju da su tijela državne uprave, JLP(R)S, agencije i druge pravne osobe s javnim ovlastima te druga državna tijela svoja savjetovanja u 2019. provodila </w:t>
      </w:r>
      <w:r w:rsidRPr="002E5315">
        <w:rPr>
          <w:b/>
          <w:szCs w:val="23"/>
        </w:rPr>
        <w:t>u prosječnom trajanju od 18,84 dana</w:t>
      </w:r>
      <w:r w:rsidRPr="002E5315">
        <w:rPr>
          <w:szCs w:val="23"/>
        </w:rPr>
        <w:t xml:space="preserve">, </w:t>
      </w:r>
      <w:r w:rsidRPr="002E5315">
        <w:rPr>
          <w:b/>
          <w:szCs w:val="23"/>
        </w:rPr>
        <w:t>što predstavlja značajan pad u broju dana provedenih na savjetovanju</w:t>
      </w:r>
      <w:r w:rsidRPr="002E5315">
        <w:rPr>
          <w:szCs w:val="23"/>
        </w:rPr>
        <w:t xml:space="preserve"> u odnosu na godinu ranije, kad je </w:t>
      </w:r>
      <w:r w:rsidRPr="002E5315">
        <w:rPr>
          <w:szCs w:val="23"/>
        </w:rPr>
        <w:lastRenderedPageBreak/>
        <w:t>prosječan broj dana iznosio 24,77 dana. Ukupno uzevši, s obzirom na ovako formuliran zakonski rok za provedbu savjetovanja, zamjećujemo reverzibilnost u dosljednoj primjeni zakonske odredbe, jer je u 2019. prosjek dana provedbenih na savjetovanju manji nego godinu prije i nalazi se na praktički na razini iz 2017</w:t>
      </w:r>
      <w:r w:rsidR="00633D93">
        <w:rPr>
          <w:szCs w:val="23"/>
        </w:rPr>
        <w:t>.</w:t>
      </w:r>
    </w:p>
    <w:p w14:paraId="0B376164" w14:textId="572816C6" w:rsidR="0085052B" w:rsidRPr="002E5315" w:rsidRDefault="007E178A" w:rsidP="007E178A">
      <w:pPr>
        <w:tabs>
          <w:tab w:val="left" w:pos="3915"/>
        </w:tabs>
        <w:rPr>
          <w:szCs w:val="23"/>
        </w:rPr>
      </w:pPr>
      <w:r w:rsidRPr="002E5315">
        <w:rPr>
          <w:szCs w:val="23"/>
        </w:rPr>
        <w:t>Sukladno Smjernicama Povjerenika za primjenu članka 11. ZPPI-ja, savjetovanjem u trajanju od 30 dana postiže se svrha provedbe savjetovanja (stvarna participacija građana u kreiranju javnih politika), a svako skraćivanje odnosno odstupanje od pravila potrebno je obrazložiti opravdanim i izvanrednim razlozima u dokumentu koj</w:t>
      </w:r>
      <w:r w:rsidR="005E2114">
        <w:rPr>
          <w:szCs w:val="23"/>
        </w:rPr>
        <w:t>i</w:t>
      </w:r>
      <w:r w:rsidRPr="002E5315">
        <w:rPr>
          <w:szCs w:val="23"/>
        </w:rPr>
        <w:t xml:space="preserve"> se također obavezno objavljuje uz akt koji se stavlja na savjetovanje</w:t>
      </w:r>
      <w:r w:rsidR="0085052B" w:rsidRPr="002E5315">
        <w:rPr>
          <w:szCs w:val="23"/>
        </w:rPr>
        <w:t>.</w:t>
      </w:r>
    </w:p>
    <w:p w14:paraId="66A0035B" w14:textId="76CC40C4" w:rsidR="0085052B" w:rsidRPr="002E5315" w:rsidRDefault="0085052B" w:rsidP="00F76685">
      <w:pPr>
        <w:keepNext/>
        <w:tabs>
          <w:tab w:val="left" w:pos="-1843"/>
        </w:tabs>
        <w:spacing w:before="240"/>
        <w:rPr>
          <w:rFonts w:cs="Segoe UI"/>
          <w:sz w:val="20"/>
          <w:szCs w:val="20"/>
        </w:rPr>
      </w:pPr>
      <w:bookmarkStart w:id="83" w:name="_Hlk34396643"/>
      <w:r w:rsidRPr="002E5315">
        <w:rPr>
          <w:rFonts w:cs="Segoe UI"/>
          <w:sz w:val="20"/>
          <w:szCs w:val="20"/>
        </w:rPr>
        <w:t xml:space="preserve">Tablica </w:t>
      </w:r>
      <w:r w:rsidR="00427ED1" w:rsidRPr="002E5315">
        <w:rPr>
          <w:rFonts w:cs="Segoe UI"/>
          <w:sz w:val="20"/>
          <w:szCs w:val="20"/>
        </w:rPr>
        <w:t>8</w:t>
      </w:r>
      <w:r w:rsidRPr="002E5315">
        <w:rPr>
          <w:rFonts w:cs="Segoe UI"/>
          <w:sz w:val="20"/>
          <w:szCs w:val="20"/>
        </w:rPr>
        <w:t>.</w:t>
      </w:r>
      <w:r w:rsidR="00427ED1" w:rsidRPr="002E5315">
        <w:rPr>
          <w:rFonts w:cs="Segoe UI"/>
          <w:sz w:val="20"/>
          <w:szCs w:val="20"/>
        </w:rPr>
        <w:t>1</w:t>
      </w:r>
      <w:r w:rsidRPr="002E5315">
        <w:rPr>
          <w:rFonts w:cs="Segoe UI"/>
          <w:sz w:val="20"/>
          <w:szCs w:val="20"/>
        </w:rPr>
        <w:t>. Analiza roka provedbe savjetovanja s obzirom na vrstu tijela 2015.-2019.</w:t>
      </w:r>
    </w:p>
    <w:tbl>
      <w:tblPr>
        <w:tblStyle w:val="Svijetlosjenanje-Isticanje5"/>
        <w:tblW w:w="9172" w:type="dxa"/>
        <w:jc w:val="center"/>
        <w:tblLook w:val="04A0" w:firstRow="1" w:lastRow="0" w:firstColumn="1" w:lastColumn="0" w:noHBand="0" w:noVBand="1"/>
      </w:tblPr>
      <w:tblGrid>
        <w:gridCol w:w="2499"/>
        <w:gridCol w:w="1310"/>
        <w:gridCol w:w="1326"/>
        <w:gridCol w:w="1413"/>
        <w:gridCol w:w="1312"/>
        <w:gridCol w:w="1312"/>
      </w:tblGrid>
      <w:tr w:rsidR="0085052B" w:rsidRPr="002E5315" w14:paraId="5D08BEF2" w14:textId="77777777" w:rsidTr="00427ED1">
        <w:trPr>
          <w:cnfStyle w:val="100000000000" w:firstRow="1" w:lastRow="0" w:firstColumn="0" w:lastColumn="0" w:oddVBand="0" w:evenVBand="0" w:oddHBand="0"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2499" w:type="dxa"/>
            <w:vMerge w:val="restart"/>
            <w:vAlign w:val="center"/>
          </w:tcPr>
          <w:p w14:paraId="23ADA595" w14:textId="77777777" w:rsidR="0085052B" w:rsidRPr="002E5315" w:rsidRDefault="0085052B" w:rsidP="0085052B">
            <w:pPr>
              <w:tabs>
                <w:tab w:val="left" w:pos="-1843"/>
              </w:tabs>
              <w:jc w:val="center"/>
              <w:rPr>
                <w:rFonts w:cs="Segoe UI"/>
                <w:color w:val="auto"/>
                <w:sz w:val="20"/>
                <w:szCs w:val="20"/>
              </w:rPr>
            </w:pPr>
            <w:r w:rsidRPr="002E5315">
              <w:rPr>
                <w:rFonts w:cs="Segoe UI"/>
                <w:color w:val="auto"/>
                <w:sz w:val="20"/>
                <w:szCs w:val="20"/>
              </w:rPr>
              <w:t>Vrsta tijela</w:t>
            </w:r>
          </w:p>
        </w:tc>
        <w:tc>
          <w:tcPr>
            <w:tcW w:w="5361" w:type="dxa"/>
            <w:gridSpan w:val="4"/>
          </w:tcPr>
          <w:p w14:paraId="57B611B4" w14:textId="77777777" w:rsidR="0085052B" w:rsidRPr="002E5315" w:rsidRDefault="0085052B" w:rsidP="0085052B">
            <w:pPr>
              <w:tabs>
                <w:tab w:val="left" w:pos="-1843"/>
              </w:tabs>
              <w:jc w:val="center"/>
              <w:cnfStyle w:val="100000000000" w:firstRow="1"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Prosječno trajanje (u danima, za sve kategorije praćenih tijela)</w:t>
            </w:r>
          </w:p>
        </w:tc>
        <w:tc>
          <w:tcPr>
            <w:tcW w:w="1312" w:type="dxa"/>
          </w:tcPr>
          <w:p w14:paraId="7ED218A7" w14:textId="77777777" w:rsidR="0085052B" w:rsidRPr="002E5315" w:rsidRDefault="0085052B" w:rsidP="0085052B">
            <w:pPr>
              <w:tabs>
                <w:tab w:val="left" w:pos="-1843"/>
              </w:tabs>
              <w:jc w:val="center"/>
              <w:cnfStyle w:val="100000000000" w:firstRow="1" w:lastRow="0" w:firstColumn="0" w:lastColumn="0" w:oddVBand="0" w:evenVBand="0" w:oddHBand="0" w:evenHBand="0" w:firstRowFirstColumn="0" w:firstRowLastColumn="0" w:lastRowFirstColumn="0" w:lastRowLastColumn="0"/>
              <w:rPr>
                <w:rFonts w:cs="Segoe UI"/>
                <w:sz w:val="20"/>
                <w:szCs w:val="20"/>
              </w:rPr>
            </w:pPr>
          </w:p>
        </w:tc>
      </w:tr>
      <w:tr w:rsidR="0085052B" w:rsidRPr="002E5315" w14:paraId="201E53A0" w14:textId="77777777" w:rsidTr="000C39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9" w:type="dxa"/>
            <w:vMerge/>
          </w:tcPr>
          <w:p w14:paraId="3392228E" w14:textId="77777777" w:rsidR="0085052B" w:rsidRPr="002E5315" w:rsidRDefault="0085052B" w:rsidP="0085052B">
            <w:pPr>
              <w:tabs>
                <w:tab w:val="left" w:pos="-1843"/>
              </w:tabs>
              <w:jc w:val="center"/>
              <w:rPr>
                <w:rFonts w:cs="Segoe UI"/>
                <w:i/>
                <w:color w:val="auto"/>
                <w:sz w:val="20"/>
                <w:szCs w:val="20"/>
              </w:rPr>
            </w:pPr>
          </w:p>
        </w:tc>
        <w:tc>
          <w:tcPr>
            <w:tcW w:w="1310" w:type="dxa"/>
            <w:shd w:val="clear" w:color="auto" w:fill="D9E2F3" w:themeFill="accent1" w:themeFillTint="33"/>
          </w:tcPr>
          <w:p w14:paraId="084476DC"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b/>
                <w:bCs/>
                <w:i/>
                <w:color w:val="auto"/>
                <w:sz w:val="20"/>
                <w:szCs w:val="20"/>
              </w:rPr>
            </w:pPr>
            <w:r w:rsidRPr="002E5315">
              <w:rPr>
                <w:rFonts w:cs="Segoe UI"/>
                <w:b/>
                <w:bCs/>
                <w:i/>
                <w:color w:val="auto"/>
                <w:sz w:val="20"/>
                <w:szCs w:val="20"/>
              </w:rPr>
              <w:t>2015.</w:t>
            </w:r>
          </w:p>
        </w:tc>
        <w:tc>
          <w:tcPr>
            <w:tcW w:w="1326" w:type="dxa"/>
            <w:shd w:val="clear" w:color="auto" w:fill="D9E2F3" w:themeFill="accent1" w:themeFillTint="33"/>
          </w:tcPr>
          <w:p w14:paraId="45907E29"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b/>
                <w:bCs/>
                <w:i/>
                <w:color w:val="auto"/>
                <w:sz w:val="20"/>
                <w:szCs w:val="20"/>
              </w:rPr>
            </w:pPr>
            <w:r w:rsidRPr="002E5315">
              <w:rPr>
                <w:rFonts w:cs="Segoe UI"/>
                <w:b/>
                <w:bCs/>
                <w:i/>
                <w:color w:val="auto"/>
                <w:sz w:val="20"/>
                <w:szCs w:val="20"/>
              </w:rPr>
              <w:t>2016.</w:t>
            </w:r>
          </w:p>
        </w:tc>
        <w:tc>
          <w:tcPr>
            <w:tcW w:w="1413" w:type="dxa"/>
            <w:shd w:val="clear" w:color="auto" w:fill="D9E2F3" w:themeFill="accent1" w:themeFillTint="33"/>
          </w:tcPr>
          <w:p w14:paraId="5344B320"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b/>
                <w:bCs/>
                <w:i/>
                <w:color w:val="auto"/>
                <w:sz w:val="20"/>
                <w:szCs w:val="20"/>
              </w:rPr>
            </w:pPr>
            <w:r w:rsidRPr="002E5315">
              <w:rPr>
                <w:rFonts w:cs="Segoe UI"/>
                <w:b/>
                <w:bCs/>
                <w:i/>
                <w:color w:val="auto"/>
                <w:sz w:val="20"/>
                <w:szCs w:val="20"/>
              </w:rPr>
              <w:t>2017.</w:t>
            </w:r>
          </w:p>
        </w:tc>
        <w:tc>
          <w:tcPr>
            <w:tcW w:w="1312" w:type="dxa"/>
            <w:shd w:val="clear" w:color="auto" w:fill="D9E2F3" w:themeFill="accent1" w:themeFillTint="33"/>
          </w:tcPr>
          <w:p w14:paraId="0D98B05D"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b/>
                <w:bCs/>
                <w:i/>
                <w:color w:val="auto"/>
                <w:sz w:val="20"/>
                <w:szCs w:val="20"/>
              </w:rPr>
            </w:pPr>
            <w:r w:rsidRPr="002E5315">
              <w:rPr>
                <w:rFonts w:cs="Segoe UI"/>
                <w:b/>
                <w:bCs/>
                <w:i/>
                <w:color w:val="auto"/>
                <w:sz w:val="20"/>
                <w:szCs w:val="20"/>
              </w:rPr>
              <w:t>2018.</w:t>
            </w:r>
          </w:p>
        </w:tc>
        <w:tc>
          <w:tcPr>
            <w:tcW w:w="1312" w:type="dxa"/>
            <w:shd w:val="clear" w:color="auto" w:fill="D9E2F3" w:themeFill="accent1" w:themeFillTint="33"/>
          </w:tcPr>
          <w:p w14:paraId="35B29C2E"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b/>
                <w:bCs/>
                <w:i/>
                <w:color w:val="auto"/>
                <w:sz w:val="20"/>
                <w:szCs w:val="20"/>
              </w:rPr>
            </w:pPr>
            <w:r w:rsidRPr="002E5315">
              <w:rPr>
                <w:rFonts w:cs="Segoe UI"/>
                <w:b/>
                <w:bCs/>
                <w:i/>
                <w:color w:val="auto"/>
                <w:sz w:val="20"/>
                <w:szCs w:val="20"/>
              </w:rPr>
              <w:t>2019</w:t>
            </w:r>
          </w:p>
        </w:tc>
      </w:tr>
      <w:tr w:rsidR="0085052B" w:rsidRPr="002E5315" w14:paraId="08B21BA7" w14:textId="77777777" w:rsidTr="00427ED1">
        <w:trPr>
          <w:jc w:val="center"/>
        </w:trPr>
        <w:tc>
          <w:tcPr>
            <w:cnfStyle w:val="001000000000" w:firstRow="0" w:lastRow="0" w:firstColumn="1" w:lastColumn="0" w:oddVBand="0" w:evenVBand="0" w:oddHBand="0" w:evenHBand="0" w:firstRowFirstColumn="0" w:firstRowLastColumn="0" w:lastRowFirstColumn="0" w:lastRowLastColumn="0"/>
            <w:tcW w:w="2499" w:type="dxa"/>
          </w:tcPr>
          <w:p w14:paraId="467ADC78" w14:textId="77777777" w:rsidR="0085052B" w:rsidRPr="002E5315" w:rsidRDefault="0085052B" w:rsidP="0085052B">
            <w:pPr>
              <w:tabs>
                <w:tab w:val="left" w:pos="-1843"/>
              </w:tabs>
              <w:rPr>
                <w:rFonts w:cs="Segoe UI"/>
                <w:b w:val="0"/>
                <w:color w:val="auto"/>
                <w:sz w:val="20"/>
                <w:szCs w:val="20"/>
              </w:rPr>
            </w:pPr>
            <w:r w:rsidRPr="002E5315">
              <w:rPr>
                <w:rFonts w:cs="Segoe UI"/>
                <w:b w:val="0"/>
                <w:color w:val="auto"/>
                <w:sz w:val="20"/>
                <w:szCs w:val="20"/>
              </w:rPr>
              <w:t>Državna tijela</w:t>
            </w:r>
          </w:p>
        </w:tc>
        <w:tc>
          <w:tcPr>
            <w:tcW w:w="0" w:type="auto"/>
            <w:vAlign w:val="center"/>
          </w:tcPr>
          <w:p w14:paraId="7268BC09"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15,67</w:t>
            </w:r>
          </w:p>
        </w:tc>
        <w:tc>
          <w:tcPr>
            <w:tcW w:w="1326" w:type="dxa"/>
            <w:vAlign w:val="center"/>
          </w:tcPr>
          <w:p w14:paraId="37029A4F"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24,50</w:t>
            </w:r>
          </w:p>
        </w:tc>
        <w:tc>
          <w:tcPr>
            <w:tcW w:w="1413" w:type="dxa"/>
            <w:vAlign w:val="center"/>
          </w:tcPr>
          <w:p w14:paraId="79E6980C"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24,00</w:t>
            </w:r>
          </w:p>
        </w:tc>
        <w:tc>
          <w:tcPr>
            <w:tcW w:w="1312" w:type="dxa"/>
            <w:vAlign w:val="center"/>
          </w:tcPr>
          <w:p w14:paraId="1E63EBEA"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28,83</w:t>
            </w:r>
          </w:p>
        </w:tc>
        <w:tc>
          <w:tcPr>
            <w:tcW w:w="1312" w:type="dxa"/>
          </w:tcPr>
          <w:p w14:paraId="7A5E24AE"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27,01</w:t>
            </w:r>
          </w:p>
        </w:tc>
      </w:tr>
      <w:tr w:rsidR="0085052B" w:rsidRPr="002E5315" w14:paraId="2746725B" w14:textId="77777777" w:rsidTr="000C39A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499" w:type="dxa"/>
            <w:shd w:val="clear" w:color="auto" w:fill="D9E2F3" w:themeFill="accent1" w:themeFillTint="33"/>
          </w:tcPr>
          <w:p w14:paraId="33DB93A2" w14:textId="77777777" w:rsidR="0085052B" w:rsidRPr="002E5315" w:rsidRDefault="0085052B" w:rsidP="0085052B">
            <w:pPr>
              <w:tabs>
                <w:tab w:val="left" w:pos="-1843"/>
              </w:tabs>
              <w:rPr>
                <w:rFonts w:cs="Segoe UI"/>
                <w:b w:val="0"/>
                <w:color w:val="auto"/>
                <w:sz w:val="20"/>
                <w:szCs w:val="20"/>
              </w:rPr>
            </w:pPr>
            <w:r w:rsidRPr="002E5315">
              <w:rPr>
                <w:rFonts w:cs="Segoe UI"/>
                <w:b w:val="0"/>
                <w:color w:val="auto"/>
                <w:sz w:val="20"/>
                <w:szCs w:val="20"/>
              </w:rPr>
              <w:t>Tijela državne uprave</w:t>
            </w:r>
          </w:p>
        </w:tc>
        <w:tc>
          <w:tcPr>
            <w:tcW w:w="1310" w:type="dxa"/>
            <w:shd w:val="clear" w:color="auto" w:fill="D9E2F3" w:themeFill="accent1" w:themeFillTint="33"/>
            <w:vAlign w:val="center"/>
          </w:tcPr>
          <w:p w14:paraId="09BB9003"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17,88</w:t>
            </w:r>
          </w:p>
        </w:tc>
        <w:tc>
          <w:tcPr>
            <w:tcW w:w="1326" w:type="dxa"/>
            <w:shd w:val="clear" w:color="auto" w:fill="D9E2F3" w:themeFill="accent1" w:themeFillTint="33"/>
            <w:vAlign w:val="center"/>
          </w:tcPr>
          <w:p w14:paraId="7B90749D"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18,83</w:t>
            </w:r>
          </w:p>
        </w:tc>
        <w:tc>
          <w:tcPr>
            <w:tcW w:w="1413" w:type="dxa"/>
            <w:shd w:val="clear" w:color="auto" w:fill="D9E2F3" w:themeFill="accent1" w:themeFillTint="33"/>
            <w:vAlign w:val="center"/>
          </w:tcPr>
          <w:p w14:paraId="6FD6ADB5"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23,84</w:t>
            </w:r>
          </w:p>
        </w:tc>
        <w:tc>
          <w:tcPr>
            <w:tcW w:w="1312" w:type="dxa"/>
            <w:shd w:val="clear" w:color="auto" w:fill="D9E2F3" w:themeFill="accent1" w:themeFillTint="33"/>
            <w:vAlign w:val="center"/>
          </w:tcPr>
          <w:p w14:paraId="19D2F091"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24,23</w:t>
            </w:r>
          </w:p>
        </w:tc>
        <w:tc>
          <w:tcPr>
            <w:tcW w:w="1312" w:type="dxa"/>
            <w:shd w:val="clear" w:color="auto" w:fill="D9E2F3" w:themeFill="accent1" w:themeFillTint="33"/>
          </w:tcPr>
          <w:p w14:paraId="4C63AF3C"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17,9</w:t>
            </w:r>
          </w:p>
        </w:tc>
      </w:tr>
      <w:tr w:rsidR="0085052B" w:rsidRPr="002E5315" w14:paraId="49FAA0CA" w14:textId="77777777" w:rsidTr="00427ED1">
        <w:trPr>
          <w:jc w:val="center"/>
        </w:trPr>
        <w:tc>
          <w:tcPr>
            <w:cnfStyle w:val="001000000000" w:firstRow="0" w:lastRow="0" w:firstColumn="1" w:lastColumn="0" w:oddVBand="0" w:evenVBand="0" w:oddHBand="0" w:evenHBand="0" w:firstRowFirstColumn="0" w:firstRowLastColumn="0" w:lastRowFirstColumn="0" w:lastRowLastColumn="0"/>
            <w:tcW w:w="2499" w:type="dxa"/>
          </w:tcPr>
          <w:p w14:paraId="549DD391" w14:textId="77777777" w:rsidR="0085052B" w:rsidRPr="002E5315" w:rsidRDefault="0085052B" w:rsidP="0085052B">
            <w:pPr>
              <w:tabs>
                <w:tab w:val="left" w:pos="-1843"/>
              </w:tabs>
              <w:rPr>
                <w:rFonts w:cs="Segoe UI"/>
                <w:b w:val="0"/>
                <w:color w:val="auto"/>
                <w:sz w:val="20"/>
                <w:szCs w:val="20"/>
              </w:rPr>
            </w:pPr>
            <w:r w:rsidRPr="002E5315">
              <w:rPr>
                <w:rFonts w:cs="Segoe UI"/>
                <w:b w:val="0"/>
                <w:color w:val="auto"/>
                <w:sz w:val="20"/>
                <w:szCs w:val="20"/>
              </w:rPr>
              <w:t>JLP(R)S</w:t>
            </w:r>
          </w:p>
        </w:tc>
        <w:tc>
          <w:tcPr>
            <w:tcW w:w="1310" w:type="dxa"/>
            <w:vAlign w:val="center"/>
          </w:tcPr>
          <w:p w14:paraId="45CA3898"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3,73</w:t>
            </w:r>
          </w:p>
        </w:tc>
        <w:tc>
          <w:tcPr>
            <w:tcW w:w="1326" w:type="dxa"/>
            <w:vAlign w:val="center"/>
          </w:tcPr>
          <w:p w14:paraId="79E9EDAA"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19,72</w:t>
            </w:r>
          </w:p>
        </w:tc>
        <w:tc>
          <w:tcPr>
            <w:tcW w:w="1413" w:type="dxa"/>
            <w:vAlign w:val="center"/>
          </w:tcPr>
          <w:p w14:paraId="1E4F99C8"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22,41</w:t>
            </w:r>
          </w:p>
        </w:tc>
        <w:tc>
          <w:tcPr>
            <w:tcW w:w="1312" w:type="dxa"/>
            <w:vAlign w:val="center"/>
          </w:tcPr>
          <w:p w14:paraId="6ECB4D6B"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22,28</w:t>
            </w:r>
          </w:p>
        </w:tc>
        <w:tc>
          <w:tcPr>
            <w:tcW w:w="1312" w:type="dxa"/>
          </w:tcPr>
          <w:p w14:paraId="0865F1D1"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color w:val="auto"/>
                <w:sz w:val="20"/>
                <w:szCs w:val="20"/>
              </w:rPr>
            </w:pPr>
            <w:r w:rsidRPr="002E5315">
              <w:rPr>
                <w:rFonts w:cs="Segoe UI"/>
                <w:color w:val="auto"/>
                <w:sz w:val="20"/>
                <w:szCs w:val="20"/>
              </w:rPr>
              <w:t>10.57</w:t>
            </w:r>
          </w:p>
        </w:tc>
      </w:tr>
      <w:tr w:rsidR="0085052B" w:rsidRPr="002E5315" w14:paraId="40630242" w14:textId="77777777" w:rsidTr="000C39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9" w:type="dxa"/>
            <w:shd w:val="clear" w:color="auto" w:fill="D9E2F3" w:themeFill="accent1" w:themeFillTint="33"/>
          </w:tcPr>
          <w:p w14:paraId="2EF73243" w14:textId="77777777" w:rsidR="0085052B" w:rsidRPr="002E5315" w:rsidRDefault="0085052B" w:rsidP="0085052B">
            <w:pPr>
              <w:tabs>
                <w:tab w:val="left" w:pos="-1843"/>
              </w:tabs>
              <w:rPr>
                <w:rFonts w:cs="Segoe UI"/>
                <w:b w:val="0"/>
                <w:color w:val="auto"/>
                <w:sz w:val="20"/>
                <w:szCs w:val="20"/>
              </w:rPr>
            </w:pPr>
            <w:r w:rsidRPr="002E5315">
              <w:rPr>
                <w:rFonts w:cs="Segoe UI"/>
                <w:b w:val="0"/>
                <w:color w:val="auto"/>
                <w:sz w:val="20"/>
                <w:szCs w:val="20"/>
              </w:rPr>
              <w:t>Agencije i druge pravne osobe s javnim ovlastima</w:t>
            </w:r>
          </w:p>
        </w:tc>
        <w:tc>
          <w:tcPr>
            <w:tcW w:w="1310" w:type="dxa"/>
            <w:shd w:val="clear" w:color="auto" w:fill="D9E2F3" w:themeFill="accent1" w:themeFillTint="33"/>
            <w:vAlign w:val="center"/>
          </w:tcPr>
          <w:p w14:paraId="5C4FF5C0"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10</w:t>
            </w:r>
          </w:p>
        </w:tc>
        <w:tc>
          <w:tcPr>
            <w:tcW w:w="1326" w:type="dxa"/>
            <w:shd w:val="clear" w:color="auto" w:fill="D9E2F3" w:themeFill="accent1" w:themeFillTint="33"/>
            <w:vAlign w:val="center"/>
          </w:tcPr>
          <w:p w14:paraId="0293B68C"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31,67</w:t>
            </w:r>
          </w:p>
        </w:tc>
        <w:tc>
          <w:tcPr>
            <w:tcW w:w="1413" w:type="dxa"/>
            <w:shd w:val="clear" w:color="auto" w:fill="D9E2F3" w:themeFill="accent1" w:themeFillTint="33"/>
            <w:vAlign w:val="center"/>
          </w:tcPr>
          <w:p w14:paraId="77CECCA2"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24,44</w:t>
            </w:r>
          </w:p>
        </w:tc>
        <w:tc>
          <w:tcPr>
            <w:tcW w:w="1312" w:type="dxa"/>
            <w:shd w:val="clear" w:color="auto" w:fill="D9E2F3" w:themeFill="accent1" w:themeFillTint="33"/>
            <w:vAlign w:val="center"/>
          </w:tcPr>
          <w:p w14:paraId="538D5066"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26</w:t>
            </w:r>
          </w:p>
        </w:tc>
        <w:tc>
          <w:tcPr>
            <w:tcW w:w="1312" w:type="dxa"/>
            <w:shd w:val="clear" w:color="auto" w:fill="D9E2F3" w:themeFill="accent1" w:themeFillTint="33"/>
          </w:tcPr>
          <w:p w14:paraId="6F523909" w14:textId="77777777" w:rsidR="0085052B" w:rsidRPr="002E5315" w:rsidRDefault="0085052B" w:rsidP="0085052B">
            <w:pPr>
              <w:tabs>
                <w:tab w:val="left" w:pos="-1843"/>
              </w:tabs>
              <w:jc w:val="center"/>
              <w:cnfStyle w:val="000000100000" w:firstRow="0" w:lastRow="0" w:firstColumn="0" w:lastColumn="0" w:oddVBand="0" w:evenVBand="0" w:oddHBand="1" w:evenHBand="0" w:firstRowFirstColumn="0" w:firstRowLastColumn="0" w:lastRowFirstColumn="0" w:lastRowLastColumn="0"/>
              <w:rPr>
                <w:rFonts w:cs="Segoe UI"/>
                <w:color w:val="auto"/>
                <w:sz w:val="20"/>
                <w:szCs w:val="20"/>
              </w:rPr>
            </w:pPr>
            <w:r w:rsidRPr="002E5315">
              <w:rPr>
                <w:rFonts w:cs="Segoe UI"/>
                <w:color w:val="auto"/>
                <w:sz w:val="20"/>
                <w:szCs w:val="20"/>
              </w:rPr>
              <w:t>19,9</w:t>
            </w:r>
          </w:p>
        </w:tc>
      </w:tr>
      <w:tr w:rsidR="0085052B" w:rsidRPr="002E5315" w14:paraId="779F53F5" w14:textId="77777777" w:rsidTr="00427ED1">
        <w:trPr>
          <w:jc w:val="center"/>
        </w:trPr>
        <w:tc>
          <w:tcPr>
            <w:cnfStyle w:val="001000000000" w:firstRow="0" w:lastRow="0" w:firstColumn="1" w:lastColumn="0" w:oddVBand="0" w:evenVBand="0" w:oddHBand="0" w:evenHBand="0" w:firstRowFirstColumn="0" w:firstRowLastColumn="0" w:lastRowFirstColumn="0" w:lastRowLastColumn="0"/>
            <w:tcW w:w="2499" w:type="dxa"/>
          </w:tcPr>
          <w:p w14:paraId="315A7EB6" w14:textId="77777777" w:rsidR="0085052B" w:rsidRPr="002E5315" w:rsidRDefault="0085052B" w:rsidP="0085052B">
            <w:pPr>
              <w:tabs>
                <w:tab w:val="left" w:pos="-1843"/>
              </w:tabs>
              <w:rPr>
                <w:rFonts w:cs="Segoe UI"/>
                <w:color w:val="auto"/>
                <w:sz w:val="20"/>
                <w:szCs w:val="20"/>
              </w:rPr>
            </w:pPr>
            <w:r w:rsidRPr="002E5315">
              <w:rPr>
                <w:rFonts w:cs="Segoe UI"/>
                <w:color w:val="auto"/>
                <w:sz w:val="20"/>
                <w:szCs w:val="20"/>
              </w:rPr>
              <w:t>Prosječno</w:t>
            </w:r>
          </w:p>
        </w:tc>
        <w:tc>
          <w:tcPr>
            <w:tcW w:w="1310" w:type="dxa"/>
            <w:vAlign w:val="center"/>
          </w:tcPr>
          <w:p w14:paraId="77BBD2B2"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b/>
                <w:color w:val="auto"/>
                <w:sz w:val="20"/>
                <w:szCs w:val="20"/>
              </w:rPr>
            </w:pPr>
            <w:r w:rsidRPr="002E5315">
              <w:rPr>
                <w:rFonts w:cs="Segoe UI"/>
                <w:b/>
                <w:color w:val="auto"/>
                <w:sz w:val="20"/>
                <w:szCs w:val="20"/>
              </w:rPr>
              <w:t>7,62</w:t>
            </w:r>
          </w:p>
        </w:tc>
        <w:tc>
          <w:tcPr>
            <w:tcW w:w="1326" w:type="dxa"/>
            <w:vAlign w:val="center"/>
          </w:tcPr>
          <w:p w14:paraId="7B8EFAE9"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b/>
                <w:color w:val="auto"/>
                <w:sz w:val="20"/>
                <w:szCs w:val="20"/>
              </w:rPr>
            </w:pPr>
            <w:r w:rsidRPr="002E5315">
              <w:rPr>
                <w:rFonts w:cs="Segoe UI"/>
                <w:b/>
                <w:color w:val="auto"/>
                <w:sz w:val="20"/>
                <w:szCs w:val="20"/>
              </w:rPr>
              <w:t>17,13</w:t>
            </w:r>
          </w:p>
        </w:tc>
        <w:tc>
          <w:tcPr>
            <w:tcW w:w="1413" w:type="dxa"/>
            <w:vAlign w:val="center"/>
          </w:tcPr>
          <w:p w14:paraId="373CAD6A"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b/>
                <w:color w:val="auto"/>
                <w:sz w:val="20"/>
                <w:szCs w:val="20"/>
              </w:rPr>
            </w:pPr>
            <w:r w:rsidRPr="002E5315">
              <w:rPr>
                <w:rFonts w:cs="Segoe UI"/>
                <w:b/>
                <w:color w:val="auto"/>
                <w:sz w:val="20"/>
                <w:szCs w:val="20"/>
              </w:rPr>
              <w:t>19,05</w:t>
            </w:r>
          </w:p>
        </w:tc>
        <w:tc>
          <w:tcPr>
            <w:tcW w:w="1312" w:type="dxa"/>
            <w:vAlign w:val="center"/>
          </w:tcPr>
          <w:p w14:paraId="2DD57D39"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b/>
                <w:color w:val="auto"/>
                <w:sz w:val="20"/>
                <w:szCs w:val="20"/>
              </w:rPr>
            </w:pPr>
            <w:r w:rsidRPr="002E5315">
              <w:rPr>
                <w:rFonts w:cs="Segoe UI"/>
                <w:b/>
                <w:color w:val="auto"/>
                <w:sz w:val="20"/>
                <w:szCs w:val="20"/>
              </w:rPr>
              <w:t>24,77</w:t>
            </w:r>
          </w:p>
        </w:tc>
        <w:tc>
          <w:tcPr>
            <w:tcW w:w="1312" w:type="dxa"/>
          </w:tcPr>
          <w:p w14:paraId="7231B2A5" w14:textId="77777777" w:rsidR="0085052B" w:rsidRPr="002E5315" w:rsidRDefault="0085052B" w:rsidP="0085052B">
            <w:pPr>
              <w:tabs>
                <w:tab w:val="left" w:pos="-1843"/>
              </w:tabs>
              <w:jc w:val="center"/>
              <w:cnfStyle w:val="000000000000" w:firstRow="0" w:lastRow="0" w:firstColumn="0" w:lastColumn="0" w:oddVBand="0" w:evenVBand="0" w:oddHBand="0" w:evenHBand="0" w:firstRowFirstColumn="0" w:firstRowLastColumn="0" w:lastRowFirstColumn="0" w:lastRowLastColumn="0"/>
              <w:rPr>
                <w:rFonts w:cs="Segoe UI"/>
                <w:b/>
                <w:color w:val="auto"/>
                <w:sz w:val="20"/>
                <w:szCs w:val="20"/>
              </w:rPr>
            </w:pPr>
            <w:r w:rsidRPr="002E5315">
              <w:rPr>
                <w:rFonts w:cs="Segoe UI"/>
                <w:b/>
                <w:color w:val="auto"/>
                <w:sz w:val="20"/>
                <w:szCs w:val="20"/>
              </w:rPr>
              <w:t>18,84</w:t>
            </w:r>
          </w:p>
        </w:tc>
      </w:tr>
    </w:tbl>
    <w:p w14:paraId="541E067C" w14:textId="067EC22C" w:rsidR="0085052B" w:rsidRPr="002E5315" w:rsidRDefault="0085052B" w:rsidP="00427ED1">
      <w:pPr>
        <w:pStyle w:val="Naslov2"/>
      </w:pPr>
      <w:bookmarkStart w:id="84" w:name="_Toc36308981"/>
      <w:bookmarkEnd w:id="83"/>
      <w:r w:rsidRPr="002E5315">
        <w:t xml:space="preserve">Nadzor </w:t>
      </w:r>
      <w:r w:rsidR="00CC2A41" w:rsidRPr="002E5315">
        <w:t xml:space="preserve">provedbe </w:t>
      </w:r>
      <w:r w:rsidRPr="002E5315">
        <w:t xml:space="preserve">savjetovanja </w:t>
      </w:r>
      <w:r w:rsidR="00CC2A41" w:rsidRPr="002E5315">
        <w:t>s javnošću</w:t>
      </w:r>
      <w:bookmarkEnd w:id="84"/>
      <w:r w:rsidRPr="002E5315">
        <w:t xml:space="preserve"> </w:t>
      </w:r>
    </w:p>
    <w:p w14:paraId="6C9829C7" w14:textId="77777777" w:rsidR="007E178A" w:rsidRPr="002E5315" w:rsidRDefault="007E178A" w:rsidP="007E178A">
      <w:pPr>
        <w:pStyle w:val="Odlomakpopisa"/>
        <w:keepNext/>
        <w:ind w:left="0"/>
        <w:rPr>
          <w:rFonts w:ascii="Gill Sans MT" w:hAnsi="Gill Sans MT"/>
          <w:sz w:val="23"/>
          <w:szCs w:val="23"/>
        </w:rPr>
      </w:pPr>
      <w:r w:rsidRPr="002E5315">
        <w:rPr>
          <w:rFonts w:ascii="Gill Sans MT" w:hAnsi="Gill Sans MT"/>
          <w:sz w:val="23"/>
          <w:szCs w:val="23"/>
        </w:rPr>
        <w:t>U izvještajnom je razdoblju Povjerenik postupao po predstavkama korisnika ili u okviru redovnog praćenja na portalu e-Savjetovanja, kontrolirajući postupak provedbe savjetovanja.</w:t>
      </w:r>
    </w:p>
    <w:p w14:paraId="1E1F1FCC" w14:textId="77777777" w:rsidR="00633D93" w:rsidRDefault="007E178A" w:rsidP="007E178A">
      <w:pPr>
        <w:keepNext/>
        <w:rPr>
          <w:szCs w:val="23"/>
        </w:rPr>
      </w:pPr>
      <w:r w:rsidRPr="002E5315">
        <w:rPr>
          <w:szCs w:val="23"/>
        </w:rPr>
        <w:t>U slučaju utvrđenih nepravilnosti, pozivao je tijela na usklađivanje postupanja sa zakonskom odredbom i svrhom savjetovanja. Ukupno uzevši, nepravilnost u provedbi zakonske odredbe najčešće se odnosila na trajanje savjetovanje i nedostatak obrazloženja za skraćivanja roka. U svim takvim slučajevima, kad akt još nije formalnopravno bio donesen, Povjerenik je tražio produljenje roka savjetovanja ili organiziranje još jednog kruga savjetovanja do kumulativno ispunjenog zakonskog roka. Tijela koja su bila stručni nositelji izrade akta, upućivao je na ispravnu procjenu valjanih razloga za skraćivanje roka provedbe savjetovanja, kao i na objavu argumentiranog obrazloženja za skraćivanje roka u dokumentu uz savjetovanje koji se prema ZPPI-ju objavljuje uz akt koji se stavlja na savjetovanje</w:t>
      </w:r>
      <w:r w:rsidR="00633D93">
        <w:rPr>
          <w:szCs w:val="23"/>
        </w:rPr>
        <w:t>.</w:t>
      </w:r>
    </w:p>
    <w:p w14:paraId="2AE3EC34" w14:textId="77777777" w:rsidR="00633D93" w:rsidRDefault="007E178A" w:rsidP="007E178A">
      <w:pPr>
        <w:rPr>
          <w:szCs w:val="23"/>
        </w:rPr>
      </w:pPr>
      <w:r w:rsidRPr="002E5315">
        <w:rPr>
          <w:szCs w:val="23"/>
        </w:rPr>
        <w:t>Analiza predstavki građana i udruga zaprimljenih u 2019. pokazuje da je povećan udio predstavki vezanih uz provedbu savjetovanja s javnošću u odnosu na prethodne godine (25 ili oko 10% u 2019., u odnosu na prosječno petnaestak ili oko 5% ukupno zaprimljenih predstavki</w:t>
      </w:r>
      <w:r w:rsidR="00633D93">
        <w:rPr>
          <w:szCs w:val="23"/>
        </w:rPr>
        <w:t>)</w:t>
      </w:r>
      <w:r w:rsidRPr="002E5315">
        <w:rPr>
          <w:szCs w:val="23"/>
        </w:rPr>
        <w:t>, a razlozi prituživanja bili kao i prethodnih godina trajanje savjetovanja kraće od 30 dana ili izostanak provedbe savjetovanja s javnošću, ali i neobjavljivanje izvješća o provedenom savjetovanju i izostanak donošenja ili objavljivanja planova savjetovanja</w:t>
      </w:r>
      <w:r w:rsidR="00633D93">
        <w:rPr>
          <w:szCs w:val="23"/>
        </w:rPr>
        <w:t>.</w:t>
      </w:r>
    </w:p>
    <w:p w14:paraId="29AE4EDA" w14:textId="2B139FBD" w:rsidR="007E178A" w:rsidRPr="002E5315" w:rsidRDefault="007E178A" w:rsidP="007E178A">
      <w:pPr>
        <w:rPr>
          <w:szCs w:val="23"/>
        </w:rPr>
      </w:pPr>
      <w:r w:rsidRPr="002E5315">
        <w:rPr>
          <w:szCs w:val="23"/>
        </w:rPr>
        <w:lastRenderedPageBreak/>
        <w:t>U dijelu predstavki problematizirana je i kvaliteta izrade izvješća o provedenom savjetovanju, odnosno nedokumentiranje svih pristiglih prijedloga i mišljenja, što izaziva posebnu pozornost i iziskuje potrebu pronalaženja sustavnije i uređenije provedbe savjetovanja s javnošću na lokalnoj razini.</w:t>
      </w:r>
    </w:p>
    <w:p w14:paraId="29678071" w14:textId="1F13B739" w:rsidR="0085052B" w:rsidRPr="002E5315" w:rsidRDefault="007E178A" w:rsidP="007E178A">
      <w:pPr>
        <w:rPr>
          <w:szCs w:val="23"/>
        </w:rPr>
      </w:pPr>
      <w:r w:rsidRPr="002E5315">
        <w:rPr>
          <w:szCs w:val="23"/>
        </w:rPr>
        <w:t>Dodatno, porast broja predstavki ukazuje na kontinuiranu potrebu provedbe ciljanih inspekcijskih nadzora vezanih uz provedbu postupka savjetovanja te ciljanu edukaciju u tom važnom području, posebno na lokalnoj razini</w:t>
      </w:r>
      <w:r w:rsidR="0085052B" w:rsidRPr="002E5315">
        <w:rPr>
          <w:szCs w:val="23"/>
        </w:rPr>
        <w:t>.</w:t>
      </w:r>
    </w:p>
    <w:p w14:paraId="02B73EC7" w14:textId="7A55023D" w:rsidR="0085052B" w:rsidRPr="002E5315" w:rsidRDefault="0085052B" w:rsidP="00427ED1">
      <w:pPr>
        <w:pStyle w:val="Naslov2"/>
      </w:pPr>
      <w:bookmarkStart w:id="85" w:name="_Toc4677872"/>
      <w:bookmarkStart w:id="86" w:name="_Toc36308982"/>
      <w:r w:rsidRPr="002E5315">
        <w:t>Analitičko praćenje provedbe savjetovanja</w:t>
      </w:r>
      <w:bookmarkEnd w:id="85"/>
      <w:r w:rsidR="00CC2A41" w:rsidRPr="002E5315">
        <w:t xml:space="preserve"> s javnošću</w:t>
      </w:r>
      <w:bookmarkEnd w:id="86"/>
    </w:p>
    <w:p w14:paraId="4AF015F5" w14:textId="7F878CD4" w:rsidR="0085052B" w:rsidRPr="002E5315" w:rsidRDefault="0085052B" w:rsidP="00427ED1">
      <w:pPr>
        <w:pStyle w:val="Naslov3"/>
      </w:pPr>
      <w:bookmarkStart w:id="87" w:name="_Toc36308983"/>
      <w:r w:rsidRPr="002E5315">
        <w:t>Tijela državne uprave i uredi Vlade Republike Hrvatske</w:t>
      </w:r>
      <w:bookmarkEnd w:id="87"/>
    </w:p>
    <w:p w14:paraId="2C093ED8" w14:textId="1A652D13" w:rsidR="000C46FA" w:rsidRPr="002E5315" w:rsidRDefault="000C46FA" w:rsidP="000C46FA">
      <w:pPr>
        <w:rPr>
          <w:szCs w:val="23"/>
        </w:rPr>
      </w:pPr>
      <w:r w:rsidRPr="002E5315">
        <w:rPr>
          <w:szCs w:val="23"/>
        </w:rPr>
        <w:t>Od 2016. Povjerenik za informiranje provodi sveobuhvatno analitičko praćenje primjene članka 11. ZPPI-ja, koje obuhvaća zakone, druge propise i dokumenti za koje postoji obveza provedbe savjetovanja, a koji su objavljeni u Narodnim novinama tijekom 2019. Iz praćenja su isključeni zakoni za koje je provedeno savjetovanje prema Zakonu o procjeni učinaka propisa (NN 44/17), čiju primjenu nadzire i koordinira Ured za zakonodavstvo Vlade RH, propisi kojima se preuzima pravna stečevina EU, kao i propisi (zakoni i uredbe) koji se odnose na rad i ustrojstvo državnih tijela i tijela državne uprave. Također,</w:t>
      </w:r>
      <w:r w:rsidR="00954DB8" w:rsidRPr="002E5315">
        <w:rPr>
          <w:szCs w:val="23"/>
        </w:rPr>
        <w:t xml:space="preserve"> </w:t>
      </w:r>
      <w:r w:rsidRPr="002E5315">
        <w:rPr>
          <w:szCs w:val="23"/>
        </w:rPr>
        <w:t xml:space="preserve">s obzirom na veliki broj zakona koji su 2019. stupili na snagu, a odnose na tehničko usklađivanje s propisima koji su se odnosili na uređenje sustava državne i regionalne uprave </w:t>
      </w:r>
      <w:r w:rsidR="00633D93">
        <w:rPr>
          <w:szCs w:val="23"/>
        </w:rPr>
        <w:t>(</w:t>
      </w:r>
      <w:r w:rsidRPr="002E5315">
        <w:rPr>
          <w:szCs w:val="23"/>
        </w:rPr>
        <w:t>pripajanje ureda državne uprave županijama, organizacija Državnog inspektorata), akti utvrđeni zaključkom Vlade RH o normativnim aktivnostima u odnosu na izmjene i dopune akata potrebnih za provedbu mjere Nacionalnog programa reformi 2019., kao i akti kojima se ispravljaju ili ukidaju akti, nisu bili predmetom praćenja.</w:t>
      </w:r>
    </w:p>
    <w:p w14:paraId="0702E530" w14:textId="77777777" w:rsidR="00633D93" w:rsidRDefault="000C46FA" w:rsidP="000C46FA">
      <w:pPr>
        <w:rPr>
          <w:szCs w:val="23"/>
        </w:rPr>
      </w:pPr>
      <w:r w:rsidRPr="002E5315">
        <w:rPr>
          <w:szCs w:val="23"/>
        </w:rPr>
        <w:t>Analitičkim praćenjem savjetovanja s javnošću u tijelima državne uprave i uredima Vlade Republike Hrvatske obuhvaćeno je ukupno 553 objavljenih propisa, akata i dokumenata, od kojih 104 zakona, 33 uredbe, 384 pravilnika, 14 standarda i kriterija, 5 odluka, 9 planova i programa, 0 poslovnika i 2 smjernice</w:t>
      </w:r>
      <w:r w:rsidR="00633D93">
        <w:rPr>
          <w:szCs w:val="23"/>
        </w:rPr>
        <w:t>.</w:t>
      </w:r>
    </w:p>
    <w:p w14:paraId="0D272ADE" w14:textId="04E958DE" w:rsidR="003D1A7D" w:rsidRPr="002E5315" w:rsidRDefault="000C46FA" w:rsidP="000C46FA">
      <w:pPr>
        <w:rPr>
          <w:szCs w:val="23"/>
        </w:rPr>
      </w:pPr>
      <w:r w:rsidRPr="002E5315">
        <w:rPr>
          <w:szCs w:val="23"/>
        </w:rPr>
        <w:t xml:space="preserve">Analiza svih prikupljenih podataka za sve vrste akata pokazuje da je </w:t>
      </w:r>
      <w:r w:rsidRPr="002E5315">
        <w:rPr>
          <w:b/>
          <w:szCs w:val="23"/>
        </w:rPr>
        <w:t>savjetovanje s javnošću provedeno za 472 od 553 propisa, odnosno 85,35%, što predstavlja značajno povećanje na razini svih promatranih akata, jer je usporediv agregatni rezultat praćenja u 2018. iznosio 71,33%</w:t>
      </w:r>
      <w:r w:rsidRPr="002E5315">
        <w:rPr>
          <w:szCs w:val="23"/>
        </w:rPr>
        <w:t xml:space="preserve"> </w:t>
      </w:r>
      <w:r w:rsidRPr="002E5315">
        <w:rPr>
          <w:bCs/>
          <w:szCs w:val="23"/>
        </w:rPr>
        <w:t>(418 provedenih savjetovanja od ukupno promatranih 586 propisa)</w:t>
      </w:r>
      <w:r w:rsidRPr="002E5315">
        <w:rPr>
          <w:b/>
          <w:szCs w:val="23"/>
        </w:rPr>
        <w:t>,</w:t>
      </w:r>
      <w:r w:rsidRPr="002E5315">
        <w:rPr>
          <w:szCs w:val="23"/>
        </w:rPr>
        <w:t xml:space="preserve"> a osobito u odnosu na rezultate praćenja za 2017. kad je taj udio iznosio svega 45,39% ili u odnosu na 2016. kad je savjetovanje bilo provedeno u 40,37% slučajeva. Prikaz provedenih i neprovedenih savjetovanja prema vrsta</w:t>
      </w:r>
      <w:r w:rsidR="00373D9D">
        <w:rPr>
          <w:szCs w:val="23"/>
        </w:rPr>
        <w:t>ma</w:t>
      </w:r>
      <w:r w:rsidRPr="002E5315">
        <w:rPr>
          <w:szCs w:val="23"/>
        </w:rPr>
        <w:t xml:space="preserve"> akata za koje je provedeno savjetovanje dan je u </w:t>
      </w:r>
      <w:r w:rsidR="0085052B" w:rsidRPr="002E5315">
        <w:rPr>
          <w:szCs w:val="23"/>
        </w:rPr>
        <w:t xml:space="preserve">Tablici </w:t>
      </w:r>
      <w:r w:rsidR="00427ED1" w:rsidRPr="002E5315">
        <w:rPr>
          <w:szCs w:val="23"/>
        </w:rPr>
        <w:t>8.2</w:t>
      </w:r>
      <w:r w:rsidR="0085052B" w:rsidRPr="002E5315">
        <w:rPr>
          <w:szCs w:val="23"/>
        </w:rPr>
        <w:t>.</w:t>
      </w:r>
    </w:p>
    <w:p w14:paraId="7A0D9425" w14:textId="37BD1CB0" w:rsidR="0085052B" w:rsidRPr="002E5315" w:rsidRDefault="0085052B" w:rsidP="0085052B">
      <w:pPr>
        <w:keepNext/>
        <w:rPr>
          <w:sz w:val="20"/>
          <w:szCs w:val="20"/>
        </w:rPr>
      </w:pPr>
      <w:bookmarkStart w:id="88" w:name="_Hlk34402521"/>
      <w:r w:rsidRPr="002E5315">
        <w:rPr>
          <w:sz w:val="20"/>
          <w:szCs w:val="20"/>
        </w:rPr>
        <w:t xml:space="preserve">Tablica </w:t>
      </w:r>
      <w:r w:rsidR="00427ED1" w:rsidRPr="002E5315">
        <w:rPr>
          <w:sz w:val="20"/>
          <w:szCs w:val="20"/>
        </w:rPr>
        <w:t>8</w:t>
      </w:r>
      <w:r w:rsidRPr="002E5315">
        <w:rPr>
          <w:sz w:val="20"/>
          <w:szCs w:val="20"/>
        </w:rPr>
        <w:t>.</w:t>
      </w:r>
      <w:r w:rsidR="00427ED1" w:rsidRPr="002E5315">
        <w:rPr>
          <w:sz w:val="20"/>
          <w:szCs w:val="20"/>
        </w:rPr>
        <w:t>2</w:t>
      </w:r>
      <w:r w:rsidRPr="002E5315">
        <w:rPr>
          <w:sz w:val="20"/>
          <w:szCs w:val="20"/>
        </w:rPr>
        <w:t>. Prikaz udjela provedenih savjetovanja prema vrsti akata u 2019.</w:t>
      </w:r>
    </w:p>
    <w:tbl>
      <w:tblPr>
        <w:tblStyle w:val="ListTable2-Accent111"/>
        <w:tblW w:w="9072" w:type="dxa"/>
        <w:jc w:val="center"/>
        <w:tblLayout w:type="fixed"/>
        <w:tblLook w:val="04A0" w:firstRow="1" w:lastRow="0" w:firstColumn="1" w:lastColumn="0" w:noHBand="0" w:noVBand="1"/>
      </w:tblPr>
      <w:tblGrid>
        <w:gridCol w:w="2127"/>
        <w:gridCol w:w="1736"/>
        <w:gridCol w:w="1736"/>
        <w:gridCol w:w="1736"/>
        <w:gridCol w:w="1737"/>
      </w:tblGrid>
      <w:tr w:rsidR="0085052B" w:rsidRPr="002E5315" w14:paraId="471E8BDE" w14:textId="77777777" w:rsidTr="0085052B">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75F93FE8" w14:textId="77777777" w:rsidR="0085052B" w:rsidRPr="002E5315" w:rsidRDefault="0085052B" w:rsidP="0085052B">
            <w:pPr>
              <w:jc w:val="center"/>
              <w:rPr>
                <w:rFonts w:cs="Calibri"/>
                <w:i/>
                <w:sz w:val="18"/>
                <w:szCs w:val="18"/>
              </w:rPr>
            </w:pPr>
            <w:r w:rsidRPr="002E5315">
              <w:rPr>
                <w:rFonts w:cs="Calibri"/>
                <w:i/>
                <w:sz w:val="18"/>
                <w:szCs w:val="18"/>
              </w:rPr>
              <w:t>Vrsta propisa / akta</w:t>
            </w:r>
          </w:p>
        </w:tc>
        <w:tc>
          <w:tcPr>
            <w:tcW w:w="1736" w:type="dxa"/>
            <w:vAlign w:val="center"/>
            <w:hideMark/>
          </w:tcPr>
          <w:p w14:paraId="761599D8"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i/>
                <w:sz w:val="20"/>
                <w:szCs w:val="20"/>
              </w:rPr>
            </w:pPr>
            <w:r w:rsidRPr="002E5315">
              <w:rPr>
                <w:rFonts w:cs="Calibri"/>
                <w:i/>
                <w:sz w:val="20"/>
                <w:szCs w:val="20"/>
              </w:rPr>
              <w:t xml:space="preserve">Broj </w:t>
            </w:r>
          </w:p>
        </w:tc>
        <w:tc>
          <w:tcPr>
            <w:tcW w:w="1736" w:type="dxa"/>
            <w:vAlign w:val="center"/>
            <w:hideMark/>
          </w:tcPr>
          <w:p w14:paraId="35BBE955"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i/>
                <w:sz w:val="18"/>
                <w:szCs w:val="20"/>
              </w:rPr>
            </w:pPr>
            <w:r w:rsidRPr="002E5315">
              <w:rPr>
                <w:rFonts w:cs="Calibri"/>
                <w:i/>
                <w:sz w:val="18"/>
                <w:szCs w:val="20"/>
              </w:rPr>
              <w:t>Provedeno savjetovanja</w:t>
            </w:r>
          </w:p>
        </w:tc>
        <w:tc>
          <w:tcPr>
            <w:tcW w:w="1736" w:type="dxa"/>
            <w:vAlign w:val="center"/>
            <w:hideMark/>
          </w:tcPr>
          <w:p w14:paraId="04F33115"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i/>
                <w:sz w:val="20"/>
                <w:szCs w:val="20"/>
              </w:rPr>
            </w:pPr>
            <w:r w:rsidRPr="002E5315">
              <w:rPr>
                <w:rFonts w:cs="Calibri"/>
                <w:i/>
                <w:sz w:val="20"/>
                <w:szCs w:val="20"/>
              </w:rPr>
              <w:t>Neprovedeno savjetovanja</w:t>
            </w:r>
          </w:p>
        </w:tc>
        <w:tc>
          <w:tcPr>
            <w:tcW w:w="1737" w:type="dxa"/>
            <w:vAlign w:val="center"/>
            <w:hideMark/>
          </w:tcPr>
          <w:p w14:paraId="00AEA5E2"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i/>
                <w:sz w:val="20"/>
                <w:szCs w:val="20"/>
              </w:rPr>
            </w:pPr>
            <w:r w:rsidRPr="002E5315">
              <w:rPr>
                <w:rFonts w:cs="Calibri"/>
                <w:i/>
                <w:sz w:val="20"/>
                <w:szCs w:val="20"/>
              </w:rPr>
              <w:t>Udio provedenih savjetovanja (%)</w:t>
            </w:r>
          </w:p>
        </w:tc>
      </w:tr>
      <w:tr w:rsidR="0085052B" w:rsidRPr="002E5315" w14:paraId="37D6DD9B"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vAlign w:val="center"/>
            <w:hideMark/>
          </w:tcPr>
          <w:p w14:paraId="79E8A966" w14:textId="77777777" w:rsidR="0085052B" w:rsidRPr="002E5315" w:rsidRDefault="0085052B" w:rsidP="0085052B">
            <w:pPr>
              <w:rPr>
                <w:rFonts w:cs="Calibri"/>
                <w:i/>
                <w:sz w:val="18"/>
                <w:szCs w:val="18"/>
              </w:rPr>
            </w:pPr>
            <w:r w:rsidRPr="002E5315">
              <w:rPr>
                <w:rFonts w:cs="Calibri"/>
                <w:i/>
                <w:sz w:val="18"/>
                <w:szCs w:val="18"/>
              </w:rPr>
              <w:t>Zakon</w:t>
            </w:r>
          </w:p>
        </w:tc>
        <w:tc>
          <w:tcPr>
            <w:tcW w:w="1736" w:type="dxa"/>
            <w:shd w:val="clear" w:color="auto" w:fill="D9E2F3" w:themeFill="accent1" w:themeFillTint="33"/>
            <w:vAlign w:val="center"/>
            <w:hideMark/>
          </w:tcPr>
          <w:p w14:paraId="6DB7ACFB"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104</w:t>
            </w:r>
          </w:p>
        </w:tc>
        <w:tc>
          <w:tcPr>
            <w:tcW w:w="1736" w:type="dxa"/>
            <w:shd w:val="clear" w:color="auto" w:fill="D9E2F3" w:themeFill="accent1" w:themeFillTint="33"/>
            <w:vAlign w:val="center"/>
          </w:tcPr>
          <w:p w14:paraId="3A740DFF"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104</w:t>
            </w:r>
          </w:p>
        </w:tc>
        <w:tc>
          <w:tcPr>
            <w:tcW w:w="1736" w:type="dxa"/>
            <w:shd w:val="clear" w:color="auto" w:fill="D9E2F3" w:themeFill="accent1" w:themeFillTint="33"/>
            <w:vAlign w:val="center"/>
          </w:tcPr>
          <w:p w14:paraId="1149D05F"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c>
          <w:tcPr>
            <w:tcW w:w="1737" w:type="dxa"/>
            <w:shd w:val="clear" w:color="auto" w:fill="D9E2F3" w:themeFill="accent1" w:themeFillTint="33"/>
            <w:vAlign w:val="center"/>
          </w:tcPr>
          <w:p w14:paraId="57CB9318"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100,00%</w:t>
            </w:r>
          </w:p>
        </w:tc>
      </w:tr>
      <w:tr w:rsidR="0085052B" w:rsidRPr="002E5315" w14:paraId="2240DF80" w14:textId="77777777" w:rsidTr="0085052B">
        <w:trPr>
          <w:trHeight w:val="28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49004DA3" w14:textId="77777777" w:rsidR="0085052B" w:rsidRPr="002E5315" w:rsidRDefault="0085052B" w:rsidP="0085052B">
            <w:pPr>
              <w:rPr>
                <w:rFonts w:cs="Calibri"/>
                <w:i/>
                <w:sz w:val="18"/>
                <w:szCs w:val="18"/>
              </w:rPr>
            </w:pPr>
            <w:r w:rsidRPr="002E5315">
              <w:rPr>
                <w:rFonts w:cs="Calibri"/>
                <w:i/>
                <w:sz w:val="18"/>
                <w:szCs w:val="18"/>
              </w:rPr>
              <w:t>Uredba</w:t>
            </w:r>
          </w:p>
        </w:tc>
        <w:tc>
          <w:tcPr>
            <w:tcW w:w="1736" w:type="dxa"/>
            <w:vAlign w:val="center"/>
            <w:hideMark/>
          </w:tcPr>
          <w:p w14:paraId="2BAF4740"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33</w:t>
            </w:r>
          </w:p>
        </w:tc>
        <w:tc>
          <w:tcPr>
            <w:tcW w:w="1736" w:type="dxa"/>
            <w:vAlign w:val="center"/>
          </w:tcPr>
          <w:p w14:paraId="7E4D1E57"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27</w:t>
            </w:r>
          </w:p>
        </w:tc>
        <w:tc>
          <w:tcPr>
            <w:tcW w:w="1736" w:type="dxa"/>
            <w:vAlign w:val="center"/>
          </w:tcPr>
          <w:p w14:paraId="6F91E35E"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6</w:t>
            </w:r>
          </w:p>
        </w:tc>
        <w:tc>
          <w:tcPr>
            <w:tcW w:w="1737" w:type="dxa"/>
            <w:vAlign w:val="center"/>
          </w:tcPr>
          <w:p w14:paraId="4ACC7F6A"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81,81%</w:t>
            </w:r>
          </w:p>
        </w:tc>
      </w:tr>
      <w:tr w:rsidR="0085052B" w:rsidRPr="002E5315" w14:paraId="250A881E"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vAlign w:val="center"/>
            <w:hideMark/>
          </w:tcPr>
          <w:p w14:paraId="2DCAEABF" w14:textId="77777777" w:rsidR="0085052B" w:rsidRPr="002E5315" w:rsidRDefault="0085052B" w:rsidP="0085052B">
            <w:pPr>
              <w:rPr>
                <w:rFonts w:cs="Calibri"/>
                <w:i/>
                <w:sz w:val="18"/>
                <w:szCs w:val="18"/>
              </w:rPr>
            </w:pPr>
            <w:r w:rsidRPr="002E5315">
              <w:rPr>
                <w:rFonts w:cs="Calibri"/>
                <w:i/>
                <w:sz w:val="18"/>
                <w:szCs w:val="18"/>
              </w:rPr>
              <w:lastRenderedPageBreak/>
              <w:t>Pravilnik</w:t>
            </w:r>
          </w:p>
        </w:tc>
        <w:tc>
          <w:tcPr>
            <w:tcW w:w="1736" w:type="dxa"/>
            <w:shd w:val="clear" w:color="auto" w:fill="D9E2F3" w:themeFill="accent1" w:themeFillTint="33"/>
            <w:vAlign w:val="center"/>
            <w:hideMark/>
          </w:tcPr>
          <w:p w14:paraId="5C9C7288"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384</w:t>
            </w:r>
          </w:p>
        </w:tc>
        <w:tc>
          <w:tcPr>
            <w:tcW w:w="1736" w:type="dxa"/>
            <w:shd w:val="clear" w:color="auto" w:fill="D9E2F3" w:themeFill="accent1" w:themeFillTint="33"/>
            <w:vAlign w:val="center"/>
          </w:tcPr>
          <w:p w14:paraId="78E2C0BE"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332</w:t>
            </w:r>
          </w:p>
        </w:tc>
        <w:tc>
          <w:tcPr>
            <w:tcW w:w="1736" w:type="dxa"/>
            <w:shd w:val="clear" w:color="auto" w:fill="D9E2F3" w:themeFill="accent1" w:themeFillTint="33"/>
            <w:vAlign w:val="center"/>
          </w:tcPr>
          <w:p w14:paraId="2E092419"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 xml:space="preserve">52 </w:t>
            </w:r>
          </w:p>
        </w:tc>
        <w:tc>
          <w:tcPr>
            <w:tcW w:w="1737" w:type="dxa"/>
            <w:shd w:val="clear" w:color="auto" w:fill="D9E2F3" w:themeFill="accent1" w:themeFillTint="33"/>
            <w:vAlign w:val="center"/>
            <w:hideMark/>
          </w:tcPr>
          <w:p w14:paraId="2FBA9C4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86,45%</w:t>
            </w:r>
          </w:p>
        </w:tc>
      </w:tr>
      <w:tr w:rsidR="0085052B" w:rsidRPr="002E5315" w14:paraId="0A053BD7" w14:textId="77777777" w:rsidTr="0085052B">
        <w:trPr>
          <w:trHeight w:val="28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2014BA72" w14:textId="77777777" w:rsidR="0085052B" w:rsidRPr="002E5315" w:rsidRDefault="0085052B" w:rsidP="0085052B">
            <w:pPr>
              <w:rPr>
                <w:rFonts w:cs="Calibri"/>
                <w:i/>
                <w:sz w:val="18"/>
                <w:szCs w:val="18"/>
              </w:rPr>
            </w:pPr>
            <w:r w:rsidRPr="002E5315">
              <w:rPr>
                <w:rFonts w:cs="Calibri"/>
                <w:i/>
                <w:sz w:val="18"/>
                <w:szCs w:val="18"/>
              </w:rPr>
              <w:t>Odluka</w:t>
            </w:r>
          </w:p>
        </w:tc>
        <w:tc>
          <w:tcPr>
            <w:tcW w:w="1736" w:type="dxa"/>
            <w:vAlign w:val="center"/>
            <w:hideMark/>
          </w:tcPr>
          <w:p w14:paraId="56416F32"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5</w:t>
            </w:r>
          </w:p>
        </w:tc>
        <w:tc>
          <w:tcPr>
            <w:tcW w:w="1736" w:type="dxa"/>
            <w:vAlign w:val="center"/>
          </w:tcPr>
          <w:p w14:paraId="2753AB74"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1736" w:type="dxa"/>
            <w:vAlign w:val="center"/>
          </w:tcPr>
          <w:p w14:paraId="4FE55642"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5</w:t>
            </w:r>
          </w:p>
        </w:tc>
        <w:tc>
          <w:tcPr>
            <w:tcW w:w="1737" w:type="dxa"/>
            <w:vAlign w:val="center"/>
          </w:tcPr>
          <w:p w14:paraId="2C2B0901"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r>
      <w:tr w:rsidR="0085052B" w:rsidRPr="002E5315" w14:paraId="39733704"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vAlign w:val="center"/>
            <w:hideMark/>
          </w:tcPr>
          <w:p w14:paraId="05D55DBB" w14:textId="77777777" w:rsidR="0085052B" w:rsidRPr="002E5315" w:rsidRDefault="0085052B" w:rsidP="0085052B">
            <w:pPr>
              <w:rPr>
                <w:rFonts w:cs="Calibri"/>
                <w:i/>
                <w:sz w:val="18"/>
                <w:szCs w:val="18"/>
              </w:rPr>
            </w:pPr>
            <w:r w:rsidRPr="002E5315">
              <w:rPr>
                <w:rFonts w:cs="Calibri"/>
                <w:i/>
                <w:sz w:val="18"/>
                <w:szCs w:val="18"/>
              </w:rPr>
              <w:t>Standardi/kriteriji</w:t>
            </w:r>
          </w:p>
        </w:tc>
        <w:tc>
          <w:tcPr>
            <w:tcW w:w="1736" w:type="dxa"/>
            <w:shd w:val="clear" w:color="auto" w:fill="D9E2F3" w:themeFill="accent1" w:themeFillTint="33"/>
            <w:vAlign w:val="center"/>
            <w:hideMark/>
          </w:tcPr>
          <w:p w14:paraId="6579925E"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14</w:t>
            </w:r>
          </w:p>
        </w:tc>
        <w:tc>
          <w:tcPr>
            <w:tcW w:w="1736" w:type="dxa"/>
            <w:shd w:val="clear" w:color="auto" w:fill="D9E2F3" w:themeFill="accent1" w:themeFillTint="33"/>
            <w:vAlign w:val="center"/>
            <w:hideMark/>
          </w:tcPr>
          <w:p w14:paraId="03F10C46"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c>
          <w:tcPr>
            <w:tcW w:w="1736" w:type="dxa"/>
            <w:shd w:val="clear" w:color="auto" w:fill="D9E2F3" w:themeFill="accent1" w:themeFillTint="33"/>
            <w:vAlign w:val="center"/>
            <w:hideMark/>
          </w:tcPr>
          <w:p w14:paraId="51709107"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14</w:t>
            </w:r>
          </w:p>
        </w:tc>
        <w:tc>
          <w:tcPr>
            <w:tcW w:w="1737" w:type="dxa"/>
            <w:shd w:val="clear" w:color="auto" w:fill="D9E2F3" w:themeFill="accent1" w:themeFillTint="33"/>
            <w:vAlign w:val="center"/>
            <w:hideMark/>
          </w:tcPr>
          <w:p w14:paraId="66788AD7"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r>
      <w:tr w:rsidR="0085052B" w:rsidRPr="002E5315" w14:paraId="6D548135" w14:textId="77777777" w:rsidTr="0085052B">
        <w:trPr>
          <w:trHeight w:val="28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14127749" w14:textId="77777777" w:rsidR="0085052B" w:rsidRPr="002E5315" w:rsidRDefault="0085052B" w:rsidP="0085052B">
            <w:pPr>
              <w:rPr>
                <w:rFonts w:cs="Calibri"/>
                <w:i/>
                <w:sz w:val="18"/>
                <w:szCs w:val="18"/>
              </w:rPr>
            </w:pPr>
            <w:r w:rsidRPr="002E5315">
              <w:rPr>
                <w:rFonts w:cs="Calibri"/>
                <w:i/>
                <w:sz w:val="18"/>
                <w:szCs w:val="18"/>
              </w:rPr>
              <w:t>Plan/Program</w:t>
            </w:r>
          </w:p>
        </w:tc>
        <w:tc>
          <w:tcPr>
            <w:tcW w:w="1736" w:type="dxa"/>
            <w:vAlign w:val="center"/>
            <w:hideMark/>
          </w:tcPr>
          <w:p w14:paraId="2376F567"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9</w:t>
            </w:r>
          </w:p>
        </w:tc>
        <w:tc>
          <w:tcPr>
            <w:tcW w:w="1736" w:type="dxa"/>
            <w:vAlign w:val="center"/>
            <w:hideMark/>
          </w:tcPr>
          <w:p w14:paraId="25B127A4"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7</w:t>
            </w:r>
          </w:p>
        </w:tc>
        <w:tc>
          <w:tcPr>
            <w:tcW w:w="1736" w:type="dxa"/>
            <w:vAlign w:val="center"/>
            <w:hideMark/>
          </w:tcPr>
          <w:p w14:paraId="184A9366"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2</w:t>
            </w:r>
          </w:p>
        </w:tc>
        <w:tc>
          <w:tcPr>
            <w:tcW w:w="1737" w:type="dxa"/>
            <w:vAlign w:val="center"/>
            <w:hideMark/>
          </w:tcPr>
          <w:p w14:paraId="00057B36"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77,77%</w:t>
            </w:r>
          </w:p>
        </w:tc>
      </w:tr>
      <w:tr w:rsidR="0085052B" w:rsidRPr="002E5315" w14:paraId="01B04667"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vAlign w:val="center"/>
            <w:hideMark/>
          </w:tcPr>
          <w:p w14:paraId="5DEDD01B" w14:textId="77777777" w:rsidR="0085052B" w:rsidRPr="002E5315" w:rsidRDefault="0085052B" w:rsidP="0085052B">
            <w:pPr>
              <w:rPr>
                <w:rFonts w:cs="Calibri"/>
                <w:i/>
                <w:sz w:val="18"/>
                <w:szCs w:val="18"/>
              </w:rPr>
            </w:pPr>
            <w:r w:rsidRPr="002E5315">
              <w:rPr>
                <w:rFonts w:cs="Calibri"/>
                <w:i/>
                <w:sz w:val="18"/>
                <w:szCs w:val="18"/>
              </w:rPr>
              <w:t xml:space="preserve">Smjernice </w:t>
            </w:r>
          </w:p>
        </w:tc>
        <w:tc>
          <w:tcPr>
            <w:tcW w:w="1736" w:type="dxa"/>
            <w:shd w:val="clear" w:color="auto" w:fill="D9E2F3" w:themeFill="accent1" w:themeFillTint="33"/>
            <w:vAlign w:val="center"/>
            <w:hideMark/>
          </w:tcPr>
          <w:p w14:paraId="07557B32"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w:t>
            </w:r>
          </w:p>
        </w:tc>
        <w:tc>
          <w:tcPr>
            <w:tcW w:w="1736" w:type="dxa"/>
            <w:shd w:val="clear" w:color="auto" w:fill="D9E2F3" w:themeFill="accent1" w:themeFillTint="33"/>
            <w:vAlign w:val="center"/>
            <w:hideMark/>
          </w:tcPr>
          <w:p w14:paraId="7563E967"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c>
          <w:tcPr>
            <w:tcW w:w="1736" w:type="dxa"/>
            <w:shd w:val="clear" w:color="auto" w:fill="D9E2F3" w:themeFill="accent1" w:themeFillTint="33"/>
            <w:vAlign w:val="center"/>
            <w:hideMark/>
          </w:tcPr>
          <w:p w14:paraId="14FE161F"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w:t>
            </w:r>
          </w:p>
        </w:tc>
        <w:tc>
          <w:tcPr>
            <w:tcW w:w="1737" w:type="dxa"/>
            <w:shd w:val="clear" w:color="auto" w:fill="D9E2F3" w:themeFill="accent1" w:themeFillTint="33"/>
            <w:vAlign w:val="center"/>
            <w:hideMark/>
          </w:tcPr>
          <w:p w14:paraId="72A366EB"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r>
      <w:tr w:rsidR="0085052B" w:rsidRPr="002E5315" w14:paraId="2725395D" w14:textId="77777777" w:rsidTr="0085052B">
        <w:trPr>
          <w:trHeight w:val="28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628988CD" w14:textId="77777777" w:rsidR="0085052B" w:rsidRPr="002E5315" w:rsidRDefault="0085052B" w:rsidP="0085052B">
            <w:pPr>
              <w:rPr>
                <w:rFonts w:cs="Calibri"/>
                <w:i/>
                <w:sz w:val="18"/>
                <w:szCs w:val="18"/>
              </w:rPr>
            </w:pPr>
            <w:r w:rsidRPr="002E5315">
              <w:rPr>
                <w:rFonts w:cs="Calibri"/>
                <w:i/>
                <w:sz w:val="18"/>
                <w:szCs w:val="18"/>
              </w:rPr>
              <w:t>Poslovnik</w:t>
            </w:r>
          </w:p>
        </w:tc>
        <w:tc>
          <w:tcPr>
            <w:tcW w:w="1736" w:type="dxa"/>
            <w:vAlign w:val="center"/>
            <w:hideMark/>
          </w:tcPr>
          <w:p w14:paraId="515200D5"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1736" w:type="dxa"/>
            <w:vAlign w:val="center"/>
            <w:hideMark/>
          </w:tcPr>
          <w:p w14:paraId="51F6CC7C"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1736" w:type="dxa"/>
            <w:vAlign w:val="center"/>
            <w:hideMark/>
          </w:tcPr>
          <w:p w14:paraId="040F9A7A"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c>
          <w:tcPr>
            <w:tcW w:w="1737" w:type="dxa"/>
            <w:vAlign w:val="center"/>
            <w:hideMark/>
          </w:tcPr>
          <w:p w14:paraId="65A5DD3C"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5315">
              <w:rPr>
                <w:rFonts w:cs="Calibri"/>
                <w:sz w:val="20"/>
                <w:szCs w:val="20"/>
              </w:rPr>
              <w:t>0%</w:t>
            </w:r>
          </w:p>
        </w:tc>
      </w:tr>
      <w:tr w:rsidR="0085052B" w:rsidRPr="002E5315" w14:paraId="2A665B23"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E2F3" w:themeFill="accent1" w:themeFillTint="33"/>
            <w:vAlign w:val="center"/>
          </w:tcPr>
          <w:p w14:paraId="5A167435" w14:textId="77777777" w:rsidR="0085052B" w:rsidRPr="002E5315" w:rsidRDefault="0085052B" w:rsidP="0085052B">
            <w:pPr>
              <w:rPr>
                <w:rFonts w:cs="Calibri"/>
                <w:i/>
                <w:sz w:val="18"/>
                <w:szCs w:val="18"/>
              </w:rPr>
            </w:pPr>
            <w:r w:rsidRPr="002E5315">
              <w:rPr>
                <w:rFonts w:cs="Calibri"/>
                <w:i/>
                <w:sz w:val="18"/>
                <w:szCs w:val="18"/>
              </w:rPr>
              <w:t>Strategija</w:t>
            </w:r>
          </w:p>
        </w:tc>
        <w:tc>
          <w:tcPr>
            <w:tcW w:w="1736" w:type="dxa"/>
            <w:shd w:val="clear" w:color="auto" w:fill="D9E2F3" w:themeFill="accent1" w:themeFillTint="33"/>
            <w:vAlign w:val="center"/>
          </w:tcPr>
          <w:p w14:paraId="2A7503C6"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w:t>
            </w:r>
          </w:p>
        </w:tc>
        <w:tc>
          <w:tcPr>
            <w:tcW w:w="1736" w:type="dxa"/>
            <w:shd w:val="clear" w:color="auto" w:fill="D9E2F3" w:themeFill="accent1" w:themeFillTint="33"/>
            <w:vAlign w:val="center"/>
          </w:tcPr>
          <w:p w14:paraId="661E99B2"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c>
          <w:tcPr>
            <w:tcW w:w="1736" w:type="dxa"/>
            <w:shd w:val="clear" w:color="auto" w:fill="D9E2F3" w:themeFill="accent1" w:themeFillTint="33"/>
            <w:vAlign w:val="center"/>
          </w:tcPr>
          <w:p w14:paraId="3EFB288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1</w:t>
            </w:r>
          </w:p>
        </w:tc>
        <w:tc>
          <w:tcPr>
            <w:tcW w:w="1737" w:type="dxa"/>
            <w:shd w:val="clear" w:color="auto" w:fill="D9E2F3" w:themeFill="accent1" w:themeFillTint="33"/>
            <w:vAlign w:val="center"/>
          </w:tcPr>
          <w:p w14:paraId="444F1F08"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5315">
              <w:rPr>
                <w:rFonts w:cs="Calibri"/>
                <w:sz w:val="20"/>
                <w:szCs w:val="20"/>
              </w:rPr>
              <w:t>0%</w:t>
            </w:r>
          </w:p>
        </w:tc>
      </w:tr>
      <w:tr w:rsidR="0085052B" w:rsidRPr="002E5315" w14:paraId="27291961" w14:textId="77777777" w:rsidTr="0085052B">
        <w:trPr>
          <w:trHeight w:val="28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33C31067" w14:textId="77777777" w:rsidR="0085052B" w:rsidRPr="002E5315" w:rsidRDefault="0085052B" w:rsidP="0085052B">
            <w:pPr>
              <w:rPr>
                <w:rFonts w:cs="Calibri"/>
                <w:color w:val="000000"/>
                <w:sz w:val="20"/>
                <w:szCs w:val="20"/>
              </w:rPr>
            </w:pPr>
            <w:r w:rsidRPr="002E5315">
              <w:rPr>
                <w:rFonts w:cs="Calibri"/>
                <w:color w:val="000000"/>
                <w:sz w:val="20"/>
                <w:szCs w:val="20"/>
              </w:rPr>
              <w:t>Ukupno</w:t>
            </w:r>
          </w:p>
        </w:tc>
        <w:tc>
          <w:tcPr>
            <w:tcW w:w="1736" w:type="dxa"/>
            <w:noWrap/>
            <w:vAlign w:val="center"/>
            <w:hideMark/>
          </w:tcPr>
          <w:p w14:paraId="5D590C38"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553</w:t>
            </w:r>
          </w:p>
        </w:tc>
        <w:tc>
          <w:tcPr>
            <w:tcW w:w="1736" w:type="dxa"/>
            <w:noWrap/>
            <w:vAlign w:val="center"/>
            <w:hideMark/>
          </w:tcPr>
          <w:p w14:paraId="3C36A127"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472</w:t>
            </w:r>
          </w:p>
        </w:tc>
        <w:tc>
          <w:tcPr>
            <w:tcW w:w="1736" w:type="dxa"/>
            <w:noWrap/>
            <w:vAlign w:val="center"/>
            <w:hideMark/>
          </w:tcPr>
          <w:p w14:paraId="16D122B9"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81</w:t>
            </w:r>
          </w:p>
        </w:tc>
        <w:tc>
          <w:tcPr>
            <w:tcW w:w="1737" w:type="dxa"/>
            <w:noWrap/>
            <w:vAlign w:val="center"/>
            <w:hideMark/>
          </w:tcPr>
          <w:p w14:paraId="702DC69B"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E5315">
              <w:rPr>
                <w:rFonts w:cs="Calibri"/>
                <w:b/>
                <w:bCs/>
                <w:color w:val="000000"/>
                <w:sz w:val="20"/>
                <w:szCs w:val="20"/>
              </w:rPr>
              <w:t>84,35%</w:t>
            </w:r>
          </w:p>
        </w:tc>
      </w:tr>
    </w:tbl>
    <w:bookmarkEnd w:id="88"/>
    <w:p w14:paraId="662251F6" w14:textId="77777777" w:rsidR="00633D93" w:rsidRDefault="0085052B" w:rsidP="000C46FA">
      <w:pPr>
        <w:spacing w:before="240"/>
        <w:rPr>
          <w:szCs w:val="23"/>
        </w:rPr>
      </w:pPr>
      <w:r w:rsidRPr="002E5315">
        <w:rPr>
          <w:szCs w:val="23"/>
        </w:rPr>
        <w:t xml:space="preserve">U odnosu na prošlogodišnje rezultate, evidentan je porast udjela provedenih savjetovanja s </w:t>
      </w:r>
      <w:r w:rsidR="000C46FA" w:rsidRPr="002E5315">
        <w:rPr>
          <w:szCs w:val="23"/>
        </w:rPr>
        <w:t xml:space="preserve">javnošću za najznačajnije vrste propisa – zakone, uredbe i pravilnike, iako je kao i 2018. </w:t>
      </w:r>
      <w:r w:rsidR="000C46FA" w:rsidRPr="002E5315">
        <w:rPr>
          <w:b/>
          <w:szCs w:val="23"/>
        </w:rPr>
        <w:t>savjetovanje provedeno za sve zakonske prijedloge</w:t>
      </w:r>
      <w:r w:rsidR="000C46FA" w:rsidRPr="002E5315">
        <w:rPr>
          <w:szCs w:val="23"/>
        </w:rPr>
        <w:t xml:space="preserve"> koji su doneseni i objavljeni u Narodnim novinama</w:t>
      </w:r>
      <w:r w:rsidR="00633D93">
        <w:rPr>
          <w:szCs w:val="23"/>
        </w:rPr>
        <w:t>.</w:t>
      </w:r>
    </w:p>
    <w:p w14:paraId="549C64F3" w14:textId="77777777" w:rsidR="00633D93" w:rsidRDefault="000C46FA" w:rsidP="000C46FA">
      <w:pPr>
        <w:rPr>
          <w:szCs w:val="23"/>
        </w:rPr>
      </w:pPr>
      <w:r w:rsidRPr="002E5315">
        <w:rPr>
          <w:szCs w:val="23"/>
        </w:rPr>
        <w:t>Analizirajući propise najvišeg ranga, vidljivo je da je u 2019. provedeno savjetovanje za 95,62% zakona i uredbi. Na razini uredbi bilježimo pad udjela od 1,52%</w:t>
      </w:r>
      <w:r w:rsidR="00633D93">
        <w:rPr>
          <w:szCs w:val="23"/>
        </w:rPr>
        <w:t>.</w:t>
      </w:r>
    </w:p>
    <w:p w14:paraId="4D00E4D2" w14:textId="77777777" w:rsidR="00633D93" w:rsidRDefault="000C46FA" w:rsidP="000C46FA">
      <w:pPr>
        <w:rPr>
          <w:szCs w:val="23"/>
        </w:rPr>
      </w:pPr>
      <w:r w:rsidRPr="002E5315">
        <w:rPr>
          <w:szCs w:val="23"/>
        </w:rPr>
        <w:t>Izuzetno važna vrsta akata su i pravilnici kojima se bitno utječe na interese i prava korisnika, a u 2019. savjetovanje s javnošću organizirano je za njih 86,45% što predstavlja značajno povećanje u odnosu na 2018., kad je taj udio iznosio 66,57%</w:t>
      </w:r>
      <w:r w:rsidR="00633D93">
        <w:rPr>
          <w:szCs w:val="23"/>
        </w:rPr>
        <w:t>.</w:t>
      </w:r>
    </w:p>
    <w:p w14:paraId="52A58771" w14:textId="0ED99A4B" w:rsidR="00FB52CC" w:rsidRPr="002E5315" w:rsidRDefault="000C46FA" w:rsidP="00FB52CC">
      <w:pPr>
        <w:rPr>
          <w:szCs w:val="23"/>
        </w:rPr>
      </w:pPr>
      <w:r w:rsidRPr="002E5315">
        <w:rPr>
          <w:szCs w:val="23"/>
        </w:rPr>
        <w:t>Iako je riječ o povećanju po svim promatranim parametrima, osim kad je riječ o udjelu provedenih savjetovanja s javnošću za uredbe, na području zakonite provedbe savjetovanja s javnošću još uvijek treba puno raditi. Osim vezano uz udio akata koji prolaze ovu proceduru, posebno je važno raditi na kvaliteti provedbe savjetovanja.</w:t>
      </w:r>
    </w:p>
    <w:p w14:paraId="09D810C0" w14:textId="1CD5D6FE" w:rsidR="0085052B" w:rsidRPr="002E5315" w:rsidRDefault="000C46FA" w:rsidP="00FB52CC">
      <w:pPr>
        <w:rPr>
          <w:szCs w:val="23"/>
        </w:rPr>
      </w:pPr>
      <w:r w:rsidRPr="002E5315">
        <w:rPr>
          <w:szCs w:val="23"/>
        </w:rPr>
        <w:t xml:space="preserve">Prikaz udjela zakona i podzakonskih akata u odnosu na broj objavljenih u Narodnim novinama, za koje je provedeno savjetovanje po godinama, zajedno s trendom 2018/2019 prikazano je u </w:t>
      </w:r>
      <w:r w:rsidR="0085052B" w:rsidRPr="002E5315">
        <w:rPr>
          <w:szCs w:val="23"/>
        </w:rPr>
        <w:t xml:space="preserve">Tablici </w:t>
      </w:r>
      <w:r w:rsidR="00427ED1" w:rsidRPr="002E5315">
        <w:rPr>
          <w:szCs w:val="23"/>
        </w:rPr>
        <w:t>8.3</w:t>
      </w:r>
      <w:r w:rsidR="0085052B" w:rsidRPr="002E5315">
        <w:rPr>
          <w:szCs w:val="23"/>
        </w:rPr>
        <w:t>.</w:t>
      </w:r>
    </w:p>
    <w:p w14:paraId="41073AD7" w14:textId="3455FCDF" w:rsidR="0085052B" w:rsidRPr="002E5315" w:rsidRDefault="0085052B" w:rsidP="00773645">
      <w:pPr>
        <w:keepNext/>
        <w:spacing w:before="240"/>
        <w:rPr>
          <w:sz w:val="20"/>
          <w:szCs w:val="20"/>
        </w:rPr>
      </w:pPr>
      <w:r w:rsidRPr="002E5315">
        <w:rPr>
          <w:sz w:val="20"/>
          <w:szCs w:val="20"/>
        </w:rPr>
        <w:t xml:space="preserve">Tablica </w:t>
      </w:r>
      <w:r w:rsidR="00427ED1" w:rsidRPr="002E5315">
        <w:rPr>
          <w:sz w:val="20"/>
          <w:szCs w:val="20"/>
        </w:rPr>
        <w:t>8.3.</w:t>
      </w:r>
      <w:r w:rsidRPr="002E5315">
        <w:rPr>
          <w:sz w:val="20"/>
          <w:szCs w:val="20"/>
        </w:rPr>
        <w:t xml:space="preserve"> Prikaz udjela provedenih savjetovanja u odnosu na objavljene za zakone, uredbe i pravilnike 2016./2019.</w:t>
      </w:r>
    </w:p>
    <w:tbl>
      <w:tblPr>
        <w:tblStyle w:val="ListTable2-Accent111"/>
        <w:tblW w:w="5000" w:type="pct"/>
        <w:jc w:val="center"/>
        <w:tblLayout w:type="fixed"/>
        <w:tblLook w:val="04A0" w:firstRow="1" w:lastRow="0" w:firstColumn="1" w:lastColumn="0" w:noHBand="0" w:noVBand="1"/>
      </w:tblPr>
      <w:tblGrid>
        <w:gridCol w:w="1468"/>
        <w:gridCol w:w="1954"/>
        <w:gridCol w:w="1956"/>
        <w:gridCol w:w="1954"/>
        <w:gridCol w:w="1956"/>
      </w:tblGrid>
      <w:tr w:rsidR="00773645" w:rsidRPr="002E5315" w14:paraId="2EE668B8" w14:textId="77777777" w:rsidTr="000C46FA">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790" w:type="pct"/>
            <w:noWrap/>
            <w:vAlign w:val="center"/>
            <w:hideMark/>
          </w:tcPr>
          <w:p w14:paraId="4D692092" w14:textId="77777777" w:rsidR="00773645" w:rsidRPr="002E5315" w:rsidRDefault="00773645" w:rsidP="0085052B">
            <w:pPr>
              <w:jc w:val="center"/>
              <w:rPr>
                <w:rFonts w:cs="Calibri"/>
                <w:color w:val="000000"/>
                <w:sz w:val="20"/>
                <w:szCs w:val="20"/>
              </w:rPr>
            </w:pPr>
            <w:r w:rsidRPr="002E5315">
              <w:rPr>
                <w:rFonts w:cs="Calibri"/>
                <w:color w:val="000000"/>
                <w:sz w:val="20"/>
                <w:szCs w:val="20"/>
              </w:rPr>
              <w:t>Vrsta propisa</w:t>
            </w:r>
          </w:p>
        </w:tc>
        <w:tc>
          <w:tcPr>
            <w:tcW w:w="1052" w:type="pct"/>
            <w:vAlign w:val="center"/>
            <w:hideMark/>
          </w:tcPr>
          <w:p w14:paraId="55137268" w14:textId="77777777" w:rsidR="00773645" w:rsidRPr="002E5315" w:rsidRDefault="00773645"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Udio provedenih savjetovanja 2016.</w:t>
            </w:r>
          </w:p>
        </w:tc>
        <w:tc>
          <w:tcPr>
            <w:tcW w:w="1053" w:type="pct"/>
            <w:vAlign w:val="center"/>
            <w:hideMark/>
          </w:tcPr>
          <w:p w14:paraId="6618D2CD" w14:textId="77777777" w:rsidR="00773645" w:rsidRPr="002E5315" w:rsidRDefault="00773645"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Udio provedenih savjetovanja 2017.</w:t>
            </w:r>
          </w:p>
        </w:tc>
        <w:tc>
          <w:tcPr>
            <w:tcW w:w="1052" w:type="pct"/>
            <w:vAlign w:val="center"/>
          </w:tcPr>
          <w:p w14:paraId="615BE633" w14:textId="77777777" w:rsidR="00773645" w:rsidRPr="002E5315" w:rsidRDefault="00773645"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Udio provedenih savjetovanja</w:t>
            </w:r>
          </w:p>
          <w:p w14:paraId="1D9B29AA" w14:textId="77777777" w:rsidR="00773645" w:rsidRPr="002E5315" w:rsidRDefault="00773645"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2018.</w:t>
            </w:r>
          </w:p>
        </w:tc>
        <w:tc>
          <w:tcPr>
            <w:tcW w:w="1053" w:type="pct"/>
            <w:noWrap/>
            <w:vAlign w:val="center"/>
          </w:tcPr>
          <w:p w14:paraId="649A3141" w14:textId="77777777" w:rsidR="00773645" w:rsidRPr="002E5315" w:rsidRDefault="00773645"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Udio provedenih savjetovanja 2019.</w:t>
            </w:r>
          </w:p>
        </w:tc>
      </w:tr>
      <w:tr w:rsidR="00773645" w:rsidRPr="002E5315" w14:paraId="17359FCC"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790" w:type="pct"/>
            <w:shd w:val="clear" w:color="auto" w:fill="D9E2F3" w:themeFill="accent1" w:themeFillTint="33"/>
            <w:noWrap/>
            <w:vAlign w:val="center"/>
            <w:hideMark/>
          </w:tcPr>
          <w:p w14:paraId="584C2AB7" w14:textId="77777777" w:rsidR="00773645" w:rsidRPr="002E5315" w:rsidRDefault="00773645" w:rsidP="0085052B">
            <w:pPr>
              <w:rPr>
                <w:rFonts w:cs="Calibri"/>
                <w:b w:val="0"/>
                <w:color w:val="000000"/>
                <w:sz w:val="20"/>
                <w:szCs w:val="20"/>
              </w:rPr>
            </w:pPr>
            <w:r w:rsidRPr="002E5315">
              <w:rPr>
                <w:rFonts w:cs="Calibri"/>
                <w:b w:val="0"/>
                <w:color w:val="000000"/>
                <w:sz w:val="20"/>
                <w:szCs w:val="20"/>
              </w:rPr>
              <w:t>Zakon</w:t>
            </w:r>
          </w:p>
        </w:tc>
        <w:tc>
          <w:tcPr>
            <w:tcW w:w="1052" w:type="pct"/>
            <w:shd w:val="clear" w:color="auto" w:fill="D9E2F3" w:themeFill="accent1" w:themeFillTint="33"/>
            <w:noWrap/>
            <w:vAlign w:val="center"/>
            <w:hideMark/>
          </w:tcPr>
          <w:p w14:paraId="7D0FA071"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47,62%</w:t>
            </w:r>
          </w:p>
        </w:tc>
        <w:tc>
          <w:tcPr>
            <w:tcW w:w="1053" w:type="pct"/>
            <w:shd w:val="clear" w:color="auto" w:fill="D9E2F3" w:themeFill="accent1" w:themeFillTint="33"/>
            <w:noWrap/>
            <w:vAlign w:val="center"/>
            <w:hideMark/>
          </w:tcPr>
          <w:p w14:paraId="5B8B19D1"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68,89%</w:t>
            </w:r>
          </w:p>
        </w:tc>
        <w:tc>
          <w:tcPr>
            <w:tcW w:w="1052" w:type="pct"/>
            <w:shd w:val="clear" w:color="auto" w:fill="D9E2F3" w:themeFill="accent1" w:themeFillTint="33"/>
            <w:vAlign w:val="center"/>
          </w:tcPr>
          <w:p w14:paraId="026A500E"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100,00%</w:t>
            </w:r>
          </w:p>
        </w:tc>
        <w:tc>
          <w:tcPr>
            <w:tcW w:w="1053" w:type="pct"/>
            <w:shd w:val="clear" w:color="auto" w:fill="D9E2F3" w:themeFill="accent1" w:themeFillTint="33"/>
            <w:noWrap/>
            <w:vAlign w:val="center"/>
          </w:tcPr>
          <w:p w14:paraId="438DD67E"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100%</w:t>
            </w:r>
          </w:p>
        </w:tc>
      </w:tr>
      <w:tr w:rsidR="00773645" w:rsidRPr="002E5315" w14:paraId="0D6A0B3F" w14:textId="77777777" w:rsidTr="000C46FA">
        <w:trPr>
          <w:trHeight w:val="284"/>
          <w:jc w:val="center"/>
        </w:trPr>
        <w:tc>
          <w:tcPr>
            <w:cnfStyle w:val="001000000000" w:firstRow="0" w:lastRow="0" w:firstColumn="1" w:lastColumn="0" w:oddVBand="0" w:evenVBand="0" w:oddHBand="0" w:evenHBand="0" w:firstRowFirstColumn="0" w:firstRowLastColumn="0" w:lastRowFirstColumn="0" w:lastRowLastColumn="0"/>
            <w:tcW w:w="790" w:type="pct"/>
            <w:noWrap/>
            <w:vAlign w:val="center"/>
            <w:hideMark/>
          </w:tcPr>
          <w:p w14:paraId="7F402248" w14:textId="77777777" w:rsidR="00773645" w:rsidRPr="002E5315" w:rsidRDefault="00773645" w:rsidP="0085052B">
            <w:pPr>
              <w:rPr>
                <w:rFonts w:cs="Calibri"/>
                <w:b w:val="0"/>
                <w:color w:val="000000"/>
                <w:sz w:val="20"/>
                <w:szCs w:val="20"/>
              </w:rPr>
            </w:pPr>
            <w:r w:rsidRPr="002E5315">
              <w:rPr>
                <w:rFonts w:cs="Calibri"/>
                <w:b w:val="0"/>
                <w:color w:val="000000"/>
                <w:sz w:val="20"/>
                <w:szCs w:val="20"/>
              </w:rPr>
              <w:t>Uredba</w:t>
            </w:r>
          </w:p>
        </w:tc>
        <w:tc>
          <w:tcPr>
            <w:tcW w:w="1052" w:type="pct"/>
            <w:noWrap/>
            <w:vAlign w:val="center"/>
            <w:hideMark/>
          </w:tcPr>
          <w:p w14:paraId="5A7027CE"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28,57%</w:t>
            </w:r>
          </w:p>
        </w:tc>
        <w:tc>
          <w:tcPr>
            <w:tcW w:w="1053" w:type="pct"/>
            <w:noWrap/>
            <w:vAlign w:val="center"/>
            <w:hideMark/>
          </w:tcPr>
          <w:p w14:paraId="1BB3E939"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53,85%</w:t>
            </w:r>
          </w:p>
        </w:tc>
        <w:tc>
          <w:tcPr>
            <w:tcW w:w="1052" w:type="pct"/>
            <w:vAlign w:val="center"/>
          </w:tcPr>
          <w:p w14:paraId="6006EBF3"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83,33%</w:t>
            </w:r>
          </w:p>
        </w:tc>
        <w:tc>
          <w:tcPr>
            <w:tcW w:w="1053" w:type="pct"/>
            <w:noWrap/>
            <w:vAlign w:val="center"/>
          </w:tcPr>
          <w:p w14:paraId="0496A49E"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E5315">
              <w:rPr>
                <w:rFonts w:cs="Calibri"/>
                <w:color w:val="000000"/>
                <w:sz w:val="20"/>
                <w:szCs w:val="20"/>
              </w:rPr>
              <w:t>81,81%</w:t>
            </w:r>
          </w:p>
        </w:tc>
      </w:tr>
      <w:tr w:rsidR="00773645" w:rsidRPr="002E5315" w14:paraId="307BC3E9" w14:textId="77777777" w:rsidTr="000C39A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790" w:type="pct"/>
            <w:shd w:val="clear" w:color="auto" w:fill="D9E2F3" w:themeFill="accent1" w:themeFillTint="33"/>
            <w:noWrap/>
            <w:vAlign w:val="center"/>
            <w:hideMark/>
          </w:tcPr>
          <w:p w14:paraId="383E1F3E" w14:textId="77777777" w:rsidR="00773645" w:rsidRPr="002E5315" w:rsidRDefault="00773645" w:rsidP="0085052B">
            <w:pPr>
              <w:rPr>
                <w:rFonts w:cs="Calibri"/>
                <w:b w:val="0"/>
                <w:color w:val="000000"/>
                <w:sz w:val="20"/>
                <w:szCs w:val="20"/>
              </w:rPr>
            </w:pPr>
            <w:r w:rsidRPr="002E5315">
              <w:rPr>
                <w:rFonts w:cs="Calibri"/>
                <w:b w:val="0"/>
                <w:color w:val="000000"/>
                <w:sz w:val="20"/>
                <w:szCs w:val="20"/>
              </w:rPr>
              <w:t>Pravilnik</w:t>
            </w:r>
          </w:p>
        </w:tc>
        <w:tc>
          <w:tcPr>
            <w:tcW w:w="1052" w:type="pct"/>
            <w:shd w:val="clear" w:color="auto" w:fill="D9E2F3" w:themeFill="accent1" w:themeFillTint="33"/>
            <w:noWrap/>
            <w:vAlign w:val="center"/>
            <w:hideMark/>
          </w:tcPr>
          <w:p w14:paraId="42415F92"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41,56%</w:t>
            </w:r>
          </w:p>
        </w:tc>
        <w:tc>
          <w:tcPr>
            <w:tcW w:w="1053" w:type="pct"/>
            <w:shd w:val="clear" w:color="auto" w:fill="D9E2F3" w:themeFill="accent1" w:themeFillTint="33"/>
            <w:noWrap/>
            <w:vAlign w:val="center"/>
            <w:hideMark/>
          </w:tcPr>
          <w:p w14:paraId="60FC39E8"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48,55%</w:t>
            </w:r>
          </w:p>
        </w:tc>
        <w:tc>
          <w:tcPr>
            <w:tcW w:w="1052" w:type="pct"/>
            <w:shd w:val="clear" w:color="auto" w:fill="D9E2F3" w:themeFill="accent1" w:themeFillTint="33"/>
            <w:vAlign w:val="center"/>
          </w:tcPr>
          <w:p w14:paraId="47465944"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66,57%</w:t>
            </w:r>
          </w:p>
        </w:tc>
        <w:tc>
          <w:tcPr>
            <w:tcW w:w="1053" w:type="pct"/>
            <w:shd w:val="clear" w:color="auto" w:fill="D9E2F3" w:themeFill="accent1" w:themeFillTint="33"/>
            <w:noWrap/>
            <w:vAlign w:val="center"/>
          </w:tcPr>
          <w:p w14:paraId="70DB5354" w14:textId="77777777" w:rsidR="00773645" w:rsidRPr="002E5315" w:rsidRDefault="00773645"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E5315">
              <w:rPr>
                <w:rFonts w:cs="Calibri"/>
                <w:color w:val="000000"/>
                <w:sz w:val="20"/>
                <w:szCs w:val="20"/>
              </w:rPr>
              <w:t>86,45%</w:t>
            </w:r>
          </w:p>
        </w:tc>
      </w:tr>
      <w:tr w:rsidR="00773645" w:rsidRPr="002E5315" w14:paraId="3651BEB8" w14:textId="77777777" w:rsidTr="000C46FA">
        <w:trPr>
          <w:trHeight w:val="284"/>
          <w:jc w:val="center"/>
        </w:trPr>
        <w:tc>
          <w:tcPr>
            <w:cnfStyle w:val="001000000000" w:firstRow="0" w:lastRow="0" w:firstColumn="1" w:lastColumn="0" w:oddVBand="0" w:evenVBand="0" w:oddHBand="0" w:evenHBand="0" w:firstRowFirstColumn="0" w:firstRowLastColumn="0" w:lastRowFirstColumn="0" w:lastRowLastColumn="0"/>
            <w:tcW w:w="790" w:type="pct"/>
            <w:noWrap/>
            <w:vAlign w:val="center"/>
            <w:hideMark/>
          </w:tcPr>
          <w:p w14:paraId="17178023" w14:textId="77777777" w:rsidR="00773645" w:rsidRPr="002E5315" w:rsidRDefault="00773645" w:rsidP="0085052B">
            <w:pPr>
              <w:rPr>
                <w:rFonts w:cs="Calibri"/>
                <w:color w:val="000000"/>
                <w:sz w:val="20"/>
                <w:szCs w:val="20"/>
              </w:rPr>
            </w:pPr>
            <w:r w:rsidRPr="002E5315">
              <w:rPr>
                <w:rFonts w:cs="Calibri"/>
                <w:color w:val="000000"/>
                <w:sz w:val="20"/>
                <w:szCs w:val="20"/>
              </w:rPr>
              <w:t>Uk./prosj.</w:t>
            </w:r>
          </w:p>
        </w:tc>
        <w:tc>
          <w:tcPr>
            <w:tcW w:w="1052" w:type="pct"/>
            <w:noWrap/>
            <w:vAlign w:val="center"/>
            <w:hideMark/>
          </w:tcPr>
          <w:p w14:paraId="7B9B84EB"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b/>
                <w:color w:val="000000"/>
                <w:sz w:val="20"/>
                <w:szCs w:val="20"/>
              </w:rPr>
            </w:pPr>
            <w:r w:rsidRPr="002E5315">
              <w:rPr>
                <w:rFonts w:cs="Calibri"/>
                <w:b/>
                <w:color w:val="000000"/>
                <w:sz w:val="20"/>
                <w:szCs w:val="20"/>
              </w:rPr>
              <w:t>40,84%</w:t>
            </w:r>
          </w:p>
        </w:tc>
        <w:tc>
          <w:tcPr>
            <w:tcW w:w="1053" w:type="pct"/>
            <w:noWrap/>
            <w:vAlign w:val="center"/>
            <w:hideMark/>
          </w:tcPr>
          <w:p w14:paraId="18473325"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b/>
                <w:color w:val="000000"/>
                <w:sz w:val="20"/>
                <w:szCs w:val="20"/>
              </w:rPr>
            </w:pPr>
            <w:r w:rsidRPr="002E5315">
              <w:rPr>
                <w:rFonts w:cs="Calibri"/>
                <w:b/>
                <w:color w:val="000000"/>
                <w:sz w:val="20"/>
                <w:szCs w:val="20"/>
              </w:rPr>
              <w:t>57,10%</w:t>
            </w:r>
          </w:p>
        </w:tc>
        <w:tc>
          <w:tcPr>
            <w:tcW w:w="1052" w:type="pct"/>
            <w:vAlign w:val="center"/>
          </w:tcPr>
          <w:p w14:paraId="7E81CB02"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b/>
                <w:color w:val="000000"/>
                <w:sz w:val="20"/>
                <w:szCs w:val="20"/>
                <w:highlight w:val="yellow"/>
              </w:rPr>
            </w:pPr>
            <w:r w:rsidRPr="002E5315">
              <w:rPr>
                <w:rFonts w:cs="Calibri"/>
                <w:b/>
                <w:color w:val="000000"/>
                <w:sz w:val="20"/>
                <w:szCs w:val="20"/>
              </w:rPr>
              <w:t>83,30%</w:t>
            </w:r>
          </w:p>
        </w:tc>
        <w:tc>
          <w:tcPr>
            <w:tcW w:w="1053" w:type="pct"/>
            <w:noWrap/>
            <w:vAlign w:val="center"/>
          </w:tcPr>
          <w:p w14:paraId="5456113F" w14:textId="77777777" w:rsidR="00773645" w:rsidRPr="002E5315" w:rsidRDefault="00773645" w:rsidP="0085052B">
            <w:pPr>
              <w:jc w:val="center"/>
              <w:cnfStyle w:val="000000000000" w:firstRow="0" w:lastRow="0" w:firstColumn="0" w:lastColumn="0" w:oddVBand="0" w:evenVBand="0" w:oddHBand="0" w:evenHBand="0" w:firstRowFirstColumn="0" w:firstRowLastColumn="0" w:lastRowFirstColumn="0" w:lastRowLastColumn="0"/>
              <w:rPr>
                <w:rFonts w:cs="Calibri"/>
                <w:b/>
                <w:color w:val="000000"/>
                <w:sz w:val="20"/>
                <w:szCs w:val="20"/>
              </w:rPr>
            </w:pPr>
          </w:p>
        </w:tc>
      </w:tr>
    </w:tbl>
    <w:p w14:paraId="47A3BA11" w14:textId="77777777" w:rsidR="00633D93" w:rsidRDefault="000C46FA" w:rsidP="000C46FA">
      <w:pPr>
        <w:spacing w:before="240"/>
        <w:rPr>
          <w:szCs w:val="23"/>
        </w:rPr>
      </w:pPr>
      <w:r w:rsidRPr="002E5315">
        <w:rPr>
          <w:szCs w:val="23"/>
        </w:rPr>
        <w:t xml:space="preserve">Unatoč porastu udjela provedenih savjetovanja, potrebno je izraziti zabrinutost zbog rokova u kojima se ova zakonska obveza provodi. Prema podacima analitičkog praćenja s portala e-Savjetovanja, vidljivo je da je </w:t>
      </w:r>
      <w:r w:rsidRPr="002E5315">
        <w:rPr>
          <w:b/>
          <w:szCs w:val="23"/>
        </w:rPr>
        <w:t xml:space="preserve">savjetovanje provedeno u zakonom propisanom roku u </w:t>
      </w:r>
      <w:r w:rsidRPr="002E5315">
        <w:rPr>
          <w:b/>
          <w:szCs w:val="23"/>
        </w:rPr>
        <w:lastRenderedPageBreak/>
        <w:t>samo 40,50 % slučajeva</w:t>
      </w:r>
      <w:r w:rsidRPr="002E5315">
        <w:rPr>
          <w:szCs w:val="23"/>
        </w:rPr>
        <w:t>, 30,38% akata bilo je na savjetovanju 15-28 dana, a manje od 15 dana 14,47% akata, dok za 14,65% akata savjetovanje nije provedeno. Prosječan broj dana trajanja savjetovanja prema analitičkom praćenju je 22,19</w:t>
      </w:r>
      <w:r w:rsidRPr="002E5315">
        <w:rPr>
          <w:color w:val="FF0000"/>
          <w:szCs w:val="23"/>
        </w:rPr>
        <w:t xml:space="preserve"> </w:t>
      </w:r>
      <w:r w:rsidRPr="002E5315">
        <w:rPr>
          <w:szCs w:val="23"/>
        </w:rPr>
        <w:t>dana</w:t>
      </w:r>
      <w:r w:rsidR="00633D93">
        <w:rPr>
          <w:szCs w:val="23"/>
        </w:rPr>
        <w:t>.</w:t>
      </w:r>
    </w:p>
    <w:p w14:paraId="1E7D6511" w14:textId="77777777" w:rsidR="00633D93" w:rsidRDefault="000C46FA" w:rsidP="000C46FA">
      <w:pPr>
        <w:rPr>
          <w:szCs w:val="23"/>
        </w:rPr>
      </w:pPr>
      <w:r w:rsidRPr="002E5315">
        <w:rPr>
          <w:szCs w:val="23"/>
        </w:rPr>
        <w:t>U usporedbi s 2018, vidljiv je porast broja savjetovanja u trajanju propisanom Zakonom, s 28,1%, na 40,50%, pri čemu se već 28 dana zbog razlika u brojanju dana uzimalo kao zadovoljavajući rok</w:t>
      </w:r>
      <w:r w:rsidR="00633D93">
        <w:rPr>
          <w:szCs w:val="23"/>
        </w:rPr>
        <w:t>.</w:t>
      </w:r>
    </w:p>
    <w:p w14:paraId="4D2A056F" w14:textId="6F25F6E3" w:rsidR="0085052B" w:rsidRPr="002E5315" w:rsidRDefault="0085052B" w:rsidP="00773645">
      <w:pPr>
        <w:keepNext/>
        <w:tabs>
          <w:tab w:val="left" w:pos="-1843"/>
        </w:tabs>
        <w:spacing w:before="240"/>
        <w:rPr>
          <w:rFonts w:cs="Segoe UI"/>
          <w:color w:val="00B050"/>
          <w:sz w:val="20"/>
          <w:szCs w:val="20"/>
        </w:rPr>
      </w:pPr>
      <w:r w:rsidRPr="002E5315">
        <w:rPr>
          <w:rFonts w:cs="Segoe UI"/>
          <w:sz w:val="20"/>
          <w:szCs w:val="20"/>
        </w:rPr>
        <w:t xml:space="preserve">Tablica </w:t>
      </w:r>
      <w:r w:rsidR="00773645" w:rsidRPr="002E5315">
        <w:rPr>
          <w:rFonts w:cs="Segoe UI"/>
          <w:sz w:val="20"/>
          <w:szCs w:val="20"/>
        </w:rPr>
        <w:t>8</w:t>
      </w:r>
      <w:r w:rsidRPr="002E5315">
        <w:rPr>
          <w:rFonts w:cs="Segoe UI"/>
          <w:sz w:val="20"/>
          <w:szCs w:val="20"/>
        </w:rPr>
        <w:t>.</w:t>
      </w:r>
      <w:r w:rsidR="00773645" w:rsidRPr="002E5315">
        <w:rPr>
          <w:rFonts w:cs="Segoe UI"/>
          <w:sz w:val="20"/>
          <w:szCs w:val="20"/>
        </w:rPr>
        <w:t>4</w:t>
      </w:r>
      <w:r w:rsidRPr="002E5315">
        <w:rPr>
          <w:rFonts w:cs="Segoe UI"/>
          <w:sz w:val="20"/>
          <w:szCs w:val="20"/>
        </w:rPr>
        <w:t>. Analiza akata s obzirom na provedena savjetovanja s javnošću i njihovim trajanjem u 2018.</w:t>
      </w:r>
    </w:p>
    <w:tbl>
      <w:tblPr>
        <w:tblW w:w="9019" w:type="dxa"/>
        <w:jc w:val="center"/>
        <w:tblBorders>
          <w:top w:val="single" w:sz="8" w:space="0" w:color="4F81BD"/>
          <w:bottom w:val="single" w:sz="8" w:space="0" w:color="4F81BD"/>
        </w:tblBorders>
        <w:tblLook w:val="04A0" w:firstRow="1" w:lastRow="0" w:firstColumn="1" w:lastColumn="0" w:noHBand="0" w:noVBand="1"/>
      </w:tblPr>
      <w:tblGrid>
        <w:gridCol w:w="4820"/>
        <w:gridCol w:w="2099"/>
        <w:gridCol w:w="2100"/>
      </w:tblGrid>
      <w:tr w:rsidR="0085052B" w:rsidRPr="002E5315" w14:paraId="09A0F93D" w14:textId="77777777" w:rsidTr="0085052B">
        <w:trPr>
          <w:jc w:val="center"/>
        </w:trPr>
        <w:tc>
          <w:tcPr>
            <w:tcW w:w="4820" w:type="dxa"/>
            <w:tcBorders>
              <w:top w:val="single" w:sz="8" w:space="0" w:color="4F81BD"/>
              <w:left w:val="nil"/>
              <w:bottom w:val="single" w:sz="8" w:space="0" w:color="4F81BD"/>
              <w:right w:val="nil"/>
            </w:tcBorders>
            <w:shd w:val="clear" w:color="auto" w:fill="auto"/>
          </w:tcPr>
          <w:p w14:paraId="601F6344" w14:textId="77777777" w:rsidR="0085052B" w:rsidRPr="002E5315" w:rsidRDefault="0085052B" w:rsidP="0085052B">
            <w:pPr>
              <w:tabs>
                <w:tab w:val="left" w:pos="-1843"/>
              </w:tabs>
              <w:jc w:val="center"/>
              <w:rPr>
                <w:rFonts w:cs="Segoe UI"/>
                <w:b/>
                <w:bCs/>
                <w:sz w:val="20"/>
                <w:szCs w:val="20"/>
              </w:rPr>
            </w:pPr>
            <w:r w:rsidRPr="002E5315">
              <w:rPr>
                <w:rFonts w:cs="Segoe UI"/>
                <w:b/>
                <w:bCs/>
                <w:sz w:val="20"/>
                <w:szCs w:val="20"/>
              </w:rPr>
              <w:t>Provedba i trajanje savjetovanja 2018.</w:t>
            </w:r>
          </w:p>
        </w:tc>
        <w:tc>
          <w:tcPr>
            <w:tcW w:w="2099" w:type="dxa"/>
            <w:tcBorders>
              <w:top w:val="single" w:sz="8" w:space="0" w:color="4F81BD"/>
              <w:left w:val="nil"/>
              <w:bottom w:val="single" w:sz="8" w:space="0" w:color="4F81BD"/>
              <w:right w:val="nil"/>
            </w:tcBorders>
          </w:tcPr>
          <w:p w14:paraId="2F300FC8" w14:textId="77777777" w:rsidR="0085052B" w:rsidRPr="002E5315" w:rsidRDefault="0085052B" w:rsidP="0085052B">
            <w:pPr>
              <w:tabs>
                <w:tab w:val="left" w:pos="-1843"/>
              </w:tabs>
              <w:jc w:val="center"/>
              <w:rPr>
                <w:rFonts w:cs="Segoe UI"/>
                <w:b/>
                <w:bCs/>
                <w:sz w:val="20"/>
                <w:szCs w:val="20"/>
              </w:rPr>
            </w:pPr>
            <w:r w:rsidRPr="002E5315">
              <w:rPr>
                <w:rFonts w:cs="Segoe UI"/>
                <w:b/>
                <w:bCs/>
                <w:sz w:val="20"/>
                <w:szCs w:val="20"/>
              </w:rPr>
              <w:t>Broj savjetovanja</w:t>
            </w:r>
          </w:p>
        </w:tc>
        <w:tc>
          <w:tcPr>
            <w:tcW w:w="2100" w:type="dxa"/>
            <w:tcBorders>
              <w:top w:val="single" w:sz="8" w:space="0" w:color="4F81BD"/>
              <w:left w:val="nil"/>
              <w:bottom w:val="single" w:sz="8" w:space="0" w:color="4F81BD"/>
              <w:right w:val="nil"/>
            </w:tcBorders>
          </w:tcPr>
          <w:p w14:paraId="61DA2A98" w14:textId="77777777" w:rsidR="0085052B" w:rsidRPr="002E5315" w:rsidRDefault="0085052B" w:rsidP="0085052B">
            <w:pPr>
              <w:tabs>
                <w:tab w:val="left" w:pos="-1843"/>
              </w:tabs>
              <w:jc w:val="center"/>
              <w:rPr>
                <w:rFonts w:cs="Segoe UI"/>
                <w:b/>
                <w:bCs/>
                <w:sz w:val="20"/>
                <w:szCs w:val="20"/>
              </w:rPr>
            </w:pPr>
            <w:r w:rsidRPr="002E5315">
              <w:rPr>
                <w:rFonts w:cs="Segoe UI"/>
                <w:b/>
                <w:bCs/>
                <w:sz w:val="20"/>
                <w:szCs w:val="20"/>
              </w:rPr>
              <w:t>Udio (%)</w:t>
            </w:r>
          </w:p>
        </w:tc>
      </w:tr>
      <w:tr w:rsidR="0085052B" w:rsidRPr="002E5315" w14:paraId="33649C0A" w14:textId="77777777" w:rsidTr="000C39A7">
        <w:trPr>
          <w:jc w:val="center"/>
        </w:trPr>
        <w:tc>
          <w:tcPr>
            <w:tcW w:w="4820" w:type="dxa"/>
            <w:tcBorders>
              <w:left w:val="nil"/>
              <w:right w:val="nil"/>
            </w:tcBorders>
            <w:shd w:val="clear" w:color="auto" w:fill="D9E2F3" w:themeFill="accent1" w:themeFillTint="33"/>
          </w:tcPr>
          <w:p w14:paraId="7F8661D6" w14:textId="77777777" w:rsidR="0085052B" w:rsidRPr="002E5315" w:rsidRDefault="0085052B" w:rsidP="0085052B">
            <w:pPr>
              <w:tabs>
                <w:tab w:val="left" w:pos="-1843"/>
              </w:tabs>
              <w:rPr>
                <w:rFonts w:cs="Segoe UI"/>
                <w:bCs/>
                <w:sz w:val="20"/>
                <w:szCs w:val="20"/>
              </w:rPr>
            </w:pPr>
            <w:r w:rsidRPr="002E5315">
              <w:rPr>
                <w:rFonts w:cs="Segoe UI"/>
                <w:bCs/>
                <w:sz w:val="20"/>
                <w:szCs w:val="20"/>
              </w:rPr>
              <w:t>28 dana i više</w:t>
            </w:r>
          </w:p>
        </w:tc>
        <w:tc>
          <w:tcPr>
            <w:tcW w:w="2099" w:type="dxa"/>
            <w:tcBorders>
              <w:left w:val="nil"/>
              <w:right w:val="nil"/>
            </w:tcBorders>
            <w:shd w:val="clear" w:color="auto" w:fill="D9E2F3" w:themeFill="accent1" w:themeFillTint="33"/>
          </w:tcPr>
          <w:p w14:paraId="61645649" w14:textId="77777777" w:rsidR="0085052B" w:rsidRPr="002E5315" w:rsidRDefault="0085052B" w:rsidP="0085052B">
            <w:pPr>
              <w:tabs>
                <w:tab w:val="left" w:pos="-1843"/>
              </w:tabs>
              <w:jc w:val="center"/>
              <w:rPr>
                <w:rFonts w:cs="Segoe UI"/>
                <w:sz w:val="20"/>
                <w:szCs w:val="20"/>
              </w:rPr>
            </w:pPr>
            <w:r w:rsidRPr="002E5315">
              <w:rPr>
                <w:rFonts w:cs="Segoe UI"/>
                <w:sz w:val="20"/>
                <w:szCs w:val="20"/>
              </w:rPr>
              <w:t>224</w:t>
            </w:r>
          </w:p>
        </w:tc>
        <w:tc>
          <w:tcPr>
            <w:tcW w:w="2100" w:type="dxa"/>
            <w:tcBorders>
              <w:left w:val="nil"/>
              <w:right w:val="nil"/>
            </w:tcBorders>
            <w:shd w:val="clear" w:color="auto" w:fill="D9E2F3" w:themeFill="accent1" w:themeFillTint="33"/>
          </w:tcPr>
          <w:p w14:paraId="614F1EFC" w14:textId="77777777" w:rsidR="0085052B" w:rsidRPr="002E5315" w:rsidRDefault="0085052B" w:rsidP="0085052B">
            <w:pPr>
              <w:tabs>
                <w:tab w:val="left" w:pos="-1843"/>
              </w:tabs>
              <w:jc w:val="center"/>
              <w:rPr>
                <w:rFonts w:cs="Segoe UI"/>
                <w:sz w:val="20"/>
                <w:szCs w:val="20"/>
              </w:rPr>
            </w:pPr>
            <w:r w:rsidRPr="002E5315">
              <w:rPr>
                <w:rFonts w:cs="Segoe UI"/>
                <w:sz w:val="20"/>
                <w:szCs w:val="20"/>
              </w:rPr>
              <w:t>40,50</w:t>
            </w:r>
          </w:p>
        </w:tc>
      </w:tr>
      <w:tr w:rsidR="0085052B" w:rsidRPr="002E5315" w14:paraId="70D52FEB" w14:textId="77777777" w:rsidTr="0085052B">
        <w:trPr>
          <w:jc w:val="center"/>
        </w:trPr>
        <w:tc>
          <w:tcPr>
            <w:tcW w:w="4820" w:type="dxa"/>
            <w:shd w:val="clear" w:color="auto" w:fill="auto"/>
          </w:tcPr>
          <w:p w14:paraId="35C2F417" w14:textId="77777777" w:rsidR="0085052B" w:rsidRPr="002E5315" w:rsidRDefault="0085052B" w:rsidP="0085052B">
            <w:pPr>
              <w:tabs>
                <w:tab w:val="left" w:pos="-1843"/>
              </w:tabs>
              <w:rPr>
                <w:rFonts w:cs="Segoe UI"/>
                <w:bCs/>
                <w:sz w:val="20"/>
                <w:szCs w:val="20"/>
              </w:rPr>
            </w:pPr>
            <w:r w:rsidRPr="002E5315">
              <w:rPr>
                <w:rFonts w:cs="Segoe UI"/>
                <w:bCs/>
                <w:sz w:val="20"/>
                <w:szCs w:val="20"/>
              </w:rPr>
              <w:t>od 15 do 28 dana</w:t>
            </w:r>
          </w:p>
        </w:tc>
        <w:tc>
          <w:tcPr>
            <w:tcW w:w="2099" w:type="dxa"/>
          </w:tcPr>
          <w:p w14:paraId="131AE2A3" w14:textId="77777777" w:rsidR="0085052B" w:rsidRPr="002E5315" w:rsidRDefault="0085052B" w:rsidP="0085052B">
            <w:pPr>
              <w:tabs>
                <w:tab w:val="left" w:pos="-1843"/>
              </w:tabs>
              <w:jc w:val="center"/>
              <w:rPr>
                <w:rFonts w:cs="Segoe UI"/>
                <w:sz w:val="20"/>
                <w:szCs w:val="20"/>
              </w:rPr>
            </w:pPr>
            <w:r w:rsidRPr="002E5315">
              <w:rPr>
                <w:rFonts w:cs="Segoe UI"/>
                <w:sz w:val="20"/>
                <w:szCs w:val="20"/>
              </w:rPr>
              <w:t>168</w:t>
            </w:r>
          </w:p>
        </w:tc>
        <w:tc>
          <w:tcPr>
            <w:tcW w:w="2100" w:type="dxa"/>
          </w:tcPr>
          <w:p w14:paraId="0975373F" w14:textId="77777777" w:rsidR="0085052B" w:rsidRPr="002E5315" w:rsidRDefault="0085052B" w:rsidP="0085052B">
            <w:pPr>
              <w:tabs>
                <w:tab w:val="left" w:pos="-1843"/>
              </w:tabs>
              <w:jc w:val="center"/>
              <w:rPr>
                <w:rFonts w:cs="Segoe UI"/>
                <w:sz w:val="20"/>
                <w:szCs w:val="20"/>
              </w:rPr>
            </w:pPr>
            <w:r w:rsidRPr="002E5315">
              <w:rPr>
                <w:rFonts w:cs="Segoe UI"/>
                <w:sz w:val="20"/>
                <w:szCs w:val="20"/>
              </w:rPr>
              <w:t>30,38</w:t>
            </w:r>
          </w:p>
        </w:tc>
      </w:tr>
      <w:tr w:rsidR="0085052B" w:rsidRPr="002E5315" w14:paraId="7731AB0F" w14:textId="77777777" w:rsidTr="000C39A7">
        <w:trPr>
          <w:jc w:val="center"/>
        </w:trPr>
        <w:tc>
          <w:tcPr>
            <w:tcW w:w="4820" w:type="dxa"/>
            <w:tcBorders>
              <w:left w:val="nil"/>
              <w:right w:val="nil"/>
            </w:tcBorders>
            <w:shd w:val="clear" w:color="auto" w:fill="D9E2F3" w:themeFill="accent1" w:themeFillTint="33"/>
          </w:tcPr>
          <w:p w14:paraId="3D9C47E0" w14:textId="77777777" w:rsidR="0085052B" w:rsidRPr="002E5315" w:rsidRDefault="0085052B" w:rsidP="0085052B">
            <w:pPr>
              <w:tabs>
                <w:tab w:val="left" w:pos="-1843"/>
              </w:tabs>
              <w:rPr>
                <w:rFonts w:cs="Segoe UI"/>
                <w:bCs/>
                <w:sz w:val="20"/>
                <w:szCs w:val="20"/>
              </w:rPr>
            </w:pPr>
            <w:r w:rsidRPr="002E5315">
              <w:rPr>
                <w:rFonts w:cs="Segoe UI"/>
                <w:bCs/>
                <w:sz w:val="20"/>
                <w:szCs w:val="20"/>
              </w:rPr>
              <w:t>manje od 15 dana</w:t>
            </w:r>
          </w:p>
        </w:tc>
        <w:tc>
          <w:tcPr>
            <w:tcW w:w="2099" w:type="dxa"/>
            <w:tcBorders>
              <w:left w:val="nil"/>
              <w:right w:val="nil"/>
            </w:tcBorders>
            <w:shd w:val="clear" w:color="auto" w:fill="D9E2F3" w:themeFill="accent1" w:themeFillTint="33"/>
          </w:tcPr>
          <w:p w14:paraId="2F7E3FCE" w14:textId="77777777" w:rsidR="0085052B" w:rsidRPr="002E5315" w:rsidRDefault="0085052B" w:rsidP="0085052B">
            <w:pPr>
              <w:tabs>
                <w:tab w:val="left" w:pos="-1843"/>
              </w:tabs>
              <w:jc w:val="center"/>
              <w:rPr>
                <w:rFonts w:cs="Segoe UI"/>
                <w:sz w:val="20"/>
                <w:szCs w:val="20"/>
              </w:rPr>
            </w:pPr>
            <w:r w:rsidRPr="002E5315">
              <w:rPr>
                <w:rFonts w:cs="Segoe UI"/>
                <w:sz w:val="20"/>
                <w:szCs w:val="20"/>
              </w:rPr>
              <w:t>80</w:t>
            </w:r>
          </w:p>
        </w:tc>
        <w:tc>
          <w:tcPr>
            <w:tcW w:w="2100" w:type="dxa"/>
            <w:tcBorders>
              <w:left w:val="nil"/>
              <w:right w:val="nil"/>
            </w:tcBorders>
            <w:shd w:val="clear" w:color="auto" w:fill="D9E2F3" w:themeFill="accent1" w:themeFillTint="33"/>
          </w:tcPr>
          <w:p w14:paraId="19629D1A" w14:textId="77777777" w:rsidR="0085052B" w:rsidRPr="002E5315" w:rsidRDefault="0085052B" w:rsidP="0085052B">
            <w:pPr>
              <w:tabs>
                <w:tab w:val="left" w:pos="-1843"/>
              </w:tabs>
              <w:jc w:val="center"/>
              <w:rPr>
                <w:rFonts w:cs="Segoe UI"/>
                <w:sz w:val="20"/>
                <w:szCs w:val="20"/>
              </w:rPr>
            </w:pPr>
            <w:r w:rsidRPr="002E5315">
              <w:rPr>
                <w:rFonts w:cs="Segoe UI"/>
                <w:sz w:val="20"/>
                <w:szCs w:val="20"/>
              </w:rPr>
              <w:t>14,47</w:t>
            </w:r>
          </w:p>
        </w:tc>
      </w:tr>
      <w:tr w:rsidR="0085052B" w:rsidRPr="002E5315" w14:paraId="64261763" w14:textId="77777777" w:rsidTr="0085052B">
        <w:trPr>
          <w:jc w:val="center"/>
        </w:trPr>
        <w:tc>
          <w:tcPr>
            <w:tcW w:w="4820" w:type="dxa"/>
            <w:shd w:val="clear" w:color="auto" w:fill="auto"/>
          </w:tcPr>
          <w:p w14:paraId="477C5CA1" w14:textId="77777777" w:rsidR="0085052B" w:rsidRPr="002E5315" w:rsidRDefault="0085052B" w:rsidP="0085052B">
            <w:pPr>
              <w:tabs>
                <w:tab w:val="left" w:pos="-1843"/>
              </w:tabs>
              <w:rPr>
                <w:rFonts w:cs="Segoe UI"/>
                <w:bCs/>
                <w:sz w:val="20"/>
                <w:szCs w:val="20"/>
              </w:rPr>
            </w:pPr>
            <w:r w:rsidRPr="002E5315">
              <w:rPr>
                <w:rFonts w:cs="Segoe UI"/>
                <w:bCs/>
                <w:sz w:val="20"/>
                <w:szCs w:val="20"/>
              </w:rPr>
              <w:t>nije provedeno</w:t>
            </w:r>
          </w:p>
        </w:tc>
        <w:tc>
          <w:tcPr>
            <w:tcW w:w="2099" w:type="dxa"/>
          </w:tcPr>
          <w:p w14:paraId="08FA61D6" w14:textId="77777777" w:rsidR="0085052B" w:rsidRPr="002E5315" w:rsidRDefault="0085052B" w:rsidP="0085052B">
            <w:pPr>
              <w:tabs>
                <w:tab w:val="left" w:pos="-1843"/>
              </w:tabs>
              <w:jc w:val="center"/>
              <w:rPr>
                <w:rFonts w:cs="Segoe UI"/>
                <w:sz w:val="20"/>
                <w:szCs w:val="20"/>
              </w:rPr>
            </w:pPr>
            <w:r w:rsidRPr="002E5315">
              <w:rPr>
                <w:rFonts w:cs="Segoe UI"/>
                <w:sz w:val="20"/>
                <w:szCs w:val="20"/>
              </w:rPr>
              <w:t>81</w:t>
            </w:r>
          </w:p>
        </w:tc>
        <w:tc>
          <w:tcPr>
            <w:tcW w:w="2100" w:type="dxa"/>
          </w:tcPr>
          <w:p w14:paraId="0887FDF3" w14:textId="77777777" w:rsidR="0085052B" w:rsidRPr="002E5315" w:rsidRDefault="0085052B" w:rsidP="0085052B">
            <w:pPr>
              <w:tabs>
                <w:tab w:val="left" w:pos="-1843"/>
              </w:tabs>
              <w:jc w:val="center"/>
              <w:rPr>
                <w:rFonts w:cs="Segoe UI"/>
                <w:sz w:val="20"/>
                <w:szCs w:val="20"/>
              </w:rPr>
            </w:pPr>
            <w:r w:rsidRPr="002E5315">
              <w:rPr>
                <w:rFonts w:cs="Segoe UI"/>
                <w:sz w:val="20"/>
                <w:szCs w:val="20"/>
              </w:rPr>
              <w:t>14,65</w:t>
            </w:r>
          </w:p>
        </w:tc>
      </w:tr>
      <w:tr w:rsidR="0085052B" w:rsidRPr="002E5315" w14:paraId="40323D55" w14:textId="77777777" w:rsidTr="000C39A7">
        <w:trPr>
          <w:jc w:val="center"/>
        </w:trPr>
        <w:tc>
          <w:tcPr>
            <w:tcW w:w="4820" w:type="dxa"/>
            <w:tcBorders>
              <w:left w:val="nil"/>
              <w:right w:val="nil"/>
            </w:tcBorders>
            <w:shd w:val="clear" w:color="auto" w:fill="D9E2F3" w:themeFill="accent1" w:themeFillTint="33"/>
          </w:tcPr>
          <w:p w14:paraId="245C0F14" w14:textId="77777777" w:rsidR="0085052B" w:rsidRPr="002E5315" w:rsidRDefault="0085052B" w:rsidP="0085052B">
            <w:pPr>
              <w:tabs>
                <w:tab w:val="left" w:pos="-1843"/>
              </w:tabs>
              <w:rPr>
                <w:rFonts w:cs="Segoe UI"/>
                <w:b/>
                <w:bCs/>
                <w:sz w:val="20"/>
                <w:szCs w:val="20"/>
              </w:rPr>
            </w:pPr>
            <w:r w:rsidRPr="002E5315">
              <w:rPr>
                <w:rFonts w:cs="Segoe UI"/>
                <w:b/>
                <w:bCs/>
                <w:sz w:val="20"/>
                <w:szCs w:val="20"/>
              </w:rPr>
              <w:t>Ukupno</w:t>
            </w:r>
          </w:p>
        </w:tc>
        <w:tc>
          <w:tcPr>
            <w:tcW w:w="2099" w:type="dxa"/>
            <w:tcBorders>
              <w:left w:val="nil"/>
              <w:right w:val="nil"/>
            </w:tcBorders>
            <w:shd w:val="clear" w:color="auto" w:fill="D9E2F3" w:themeFill="accent1" w:themeFillTint="33"/>
          </w:tcPr>
          <w:p w14:paraId="7ABB2B22" w14:textId="77777777" w:rsidR="0085052B" w:rsidRPr="002E5315" w:rsidRDefault="0085052B" w:rsidP="0085052B">
            <w:pPr>
              <w:tabs>
                <w:tab w:val="left" w:pos="-1843"/>
              </w:tabs>
              <w:jc w:val="center"/>
              <w:rPr>
                <w:rFonts w:cs="Segoe UI"/>
                <w:b/>
                <w:sz w:val="20"/>
                <w:szCs w:val="20"/>
              </w:rPr>
            </w:pPr>
            <w:r w:rsidRPr="002E5315">
              <w:rPr>
                <w:rFonts w:cs="Segoe UI"/>
                <w:b/>
                <w:sz w:val="20"/>
                <w:szCs w:val="20"/>
              </w:rPr>
              <w:t>553</w:t>
            </w:r>
          </w:p>
        </w:tc>
        <w:tc>
          <w:tcPr>
            <w:tcW w:w="2100" w:type="dxa"/>
            <w:tcBorders>
              <w:left w:val="nil"/>
              <w:right w:val="nil"/>
            </w:tcBorders>
            <w:shd w:val="clear" w:color="auto" w:fill="D9E2F3" w:themeFill="accent1" w:themeFillTint="33"/>
          </w:tcPr>
          <w:p w14:paraId="7972B261" w14:textId="77777777" w:rsidR="0085052B" w:rsidRPr="002E5315" w:rsidRDefault="0085052B" w:rsidP="0085052B">
            <w:pPr>
              <w:tabs>
                <w:tab w:val="left" w:pos="-1843"/>
              </w:tabs>
              <w:jc w:val="center"/>
              <w:rPr>
                <w:rFonts w:cs="Segoe UI"/>
                <w:b/>
                <w:sz w:val="20"/>
                <w:szCs w:val="20"/>
              </w:rPr>
            </w:pPr>
            <w:r w:rsidRPr="002E5315">
              <w:rPr>
                <w:rFonts w:cs="Segoe UI"/>
                <w:b/>
                <w:sz w:val="20"/>
                <w:szCs w:val="20"/>
              </w:rPr>
              <w:t>100</w:t>
            </w:r>
          </w:p>
        </w:tc>
      </w:tr>
    </w:tbl>
    <w:p w14:paraId="60655127" w14:textId="29E72D82" w:rsidR="003D1A7D" w:rsidRPr="002E5315" w:rsidRDefault="000C46FA" w:rsidP="003D1A7D">
      <w:pPr>
        <w:spacing w:before="240"/>
        <w:rPr>
          <w:szCs w:val="23"/>
        </w:rPr>
      </w:pPr>
      <w:r w:rsidRPr="002E5315">
        <w:rPr>
          <w:szCs w:val="23"/>
        </w:rPr>
        <w:t>Kako ZPPI-jem nije propisan rok objave izvješća o provedenom savjetovanju, tijela su navodila instruktivne datume kad se može očekivati objava izvješća o provedenom savjetovanju. Od 472 provedena savjetovanja, izvješće o provedenom savjetovanju s komentarima i odgovorima objavljeno je u 423 ili 89,61%, što je manje od udjela objavljenih izvješća u 2018. kad je iznosio 96,38%.</w:t>
      </w:r>
    </w:p>
    <w:p w14:paraId="68A71C1F" w14:textId="32A433D5" w:rsidR="000C46FA" w:rsidRPr="002E5315" w:rsidRDefault="000C46FA" w:rsidP="00FB52CC">
      <w:pPr>
        <w:spacing w:before="240"/>
        <w:rPr>
          <w:i/>
          <w:iCs/>
          <w:szCs w:val="23"/>
        </w:rPr>
      </w:pPr>
      <w:r w:rsidRPr="002E5315">
        <w:rPr>
          <w:i/>
          <w:iCs/>
          <w:szCs w:val="23"/>
        </w:rPr>
        <w:t>Provedba savjetovanja putem portala e-savjetovanja</w:t>
      </w:r>
    </w:p>
    <w:p w14:paraId="6DEEB211" w14:textId="77777777" w:rsidR="000C46FA" w:rsidRPr="002E5315" w:rsidRDefault="000C46FA" w:rsidP="000C46FA">
      <w:pPr>
        <w:rPr>
          <w:i/>
          <w:iCs/>
          <w:szCs w:val="23"/>
        </w:rPr>
      </w:pPr>
      <w:r w:rsidRPr="002E5315">
        <w:rPr>
          <w:iCs/>
          <w:szCs w:val="23"/>
        </w:rPr>
        <w:t>Pored analitičkog praćenja provedbe savjetovanja od strane Povjerenika, u nastavku se daje prikaz provedbe savjetovanja putem portala e-Savjetovanja, kojim je obuhvaćen veći broj tijela, pa samim time i veći broj akata.</w:t>
      </w:r>
    </w:p>
    <w:p w14:paraId="15846083" w14:textId="77777777" w:rsidR="00633D93" w:rsidRDefault="000C46FA" w:rsidP="000C46FA">
      <w:pPr>
        <w:rPr>
          <w:szCs w:val="23"/>
        </w:rPr>
      </w:pPr>
      <w:r w:rsidRPr="002E5315">
        <w:rPr>
          <w:szCs w:val="23"/>
        </w:rPr>
        <w:t>Prema podacima Ureda za zakonodavstvo Vlade RH (koji je sredinom godine od Ureda za udruge Vlade RH, a u suradnji sa SDURDD, preuzeo administriranje sustava e-Savjetovanja), na dan 29. siječnja 2020. sustav je imao 27.129 korisnika. Ovaj pokazatelj govori o rastu u odnosu na godinu ranije, kad je bilo 23.240 korisnika, odnosno oko 3.889 korisnika više nego u otprilike isto vrijeme prethodne godine. Provedba savjetovanja s javnošću putem portala e-Savjetovanja je obvezan način provedbe savjetovanja za tijela državne uprave, dok se ostalim korisnicima propisuje obveza provedbe savjetovanja putem portala ili vlastitih internetskih stranica, što je prethodno istaknuto kao nedovoljno suportivna opcija posebno za brojne manja tijela na lokalnoj razini (gradove i općine)</w:t>
      </w:r>
      <w:r w:rsidR="00633D93">
        <w:rPr>
          <w:szCs w:val="23"/>
        </w:rPr>
        <w:t>.</w:t>
      </w:r>
    </w:p>
    <w:p w14:paraId="01ABE551" w14:textId="77777777" w:rsidR="00633D93" w:rsidRDefault="000C46FA" w:rsidP="000C46FA">
      <w:pPr>
        <w:rPr>
          <w:szCs w:val="23"/>
        </w:rPr>
      </w:pPr>
      <w:r w:rsidRPr="002E5315">
        <w:rPr>
          <w:szCs w:val="23"/>
        </w:rPr>
        <w:t>Prema podacima s portala e-Savjetovanja, tijekom 2019. provedeno je 1.031 savjetovanje, odnosno gotovo isti broj savjetovanja kao i</w:t>
      </w:r>
      <w:r w:rsidR="00954DB8" w:rsidRPr="002E5315">
        <w:rPr>
          <w:szCs w:val="23"/>
        </w:rPr>
        <w:t xml:space="preserve"> </w:t>
      </w:r>
      <w:r w:rsidRPr="002E5315">
        <w:rPr>
          <w:szCs w:val="23"/>
        </w:rPr>
        <w:t>2018., kad je provedeno 1033 savjetovanja, uključujući i savjetovanja prema Zakonu o procjeni učinaka propisa. Što se tiče trajanja savjetovanja, podaci koji su generirani iz sustava e-Savjetovanja podudaraju se nalazima iz redovnog postupanja Povjerenika.</w:t>
      </w:r>
      <w:r w:rsidR="00954DB8" w:rsidRPr="002E5315">
        <w:rPr>
          <w:szCs w:val="23"/>
        </w:rPr>
        <w:t xml:space="preserve"> </w:t>
      </w:r>
      <w:r w:rsidRPr="002E5315">
        <w:rPr>
          <w:szCs w:val="23"/>
        </w:rPr>
        <w:t xml:space="preserve">Od 1.031 provedena savjetovanja, 944 ili 91,56% trajalo je kraće od 30 dana, u odnosu na 88% savjetovanja koja su trajala kraće od propisanog roka u 2018. g, dok je samo 87 savjetovanja odnosno 8,44% trajalo 30 dana ili duže (u odnosu na 11,8% u </w:t>
      </w:r>
      <w:r w:rsidRPr="002E5315">
        <w:rPr>
          <w:szCs w:val="23"/>
        </w:rPr>
        <w:lastRenderedPageBreak/>
        <w:t>2018.). Sustav je također notirao kako je prosječan broj dana</w:t>
      </w:r>
      <w:r w:rsidR="00954DB8" w:rsidRPr="002E5315">
        <w:rPr>
          <w:szCs w:val="23"/>
        </w:rPr>
        <w:t xml:space="preserve"> </w:t>
      </w:r>
      <w:r w:rsidRPr="002E5315">
        <w:rPr>
          <w:szCs w:val="23"/>
        </w:rPr>
        <w:t>savjetovanja za sve akte, bio je još niži i iznosio samo 18 dana</w:t>
      </w:r>
      <w:r w:rsidR="00633D93">
        <w:rPr>
          <w:szCs w:val="23"/>
        </w:rPr>
        <w:t>.</w:t>
      </w:r>
    </w:p>
    <w:p w14:paraId="62ACE5E9" w14:textId="12773153" w:rsidR="000C46FA" w:rsidRPr="002E5315" w:rsidRDefault="000C46FA" w:rsidP="000C46FA">
      <w:pPr>
        <w:rPr>
          <w:szCs w:val="23"/>
        </w:rPr>
      </w:pPr>
      <w:r w:rsidRPr="002E5315">
        <w:rPr>
          <w:szCs w:val="23"/>
        </w:rPr>
        <w:t>U izvještajnom je razdoblju svoje komentare, mišljenja i prijedloge davalo 4.150 registriranih korisnika, odnosno 562 korisnika manje nego prethodne godine (4.712 fizičkih i pravnih osoba), uz manji broj komentara –19.543.</w:t>
      </w:r>
    </w:p>
    <w:p w14:paraId="1DFCFC01" w14:textId="77777777" w:rsidR="000C46FA" w:rsidRPr="002E5315" w:rsidRDefault="000C46FA" w:rsidP="000C46FA">
      <w:pPr>
        <w:rPr>
          <w:szCs w:val="23"/>
        </w:rPr>
      </w:pPr>
      <w:r w:rsidRPr="002E5315">
        <w:rPr>
          <w:szCs w:val="23"/>
        </w:rPr>
        <w:t>Kao i prethodnih godina, najbrojnija skupina korisnika koji su komentirali propise na savjetovanju bili su pojedinci (3.230), udruge (271), trgovačka društva (306) i ustanove (131), a relativno su aktivne bile i JLP(R)S (71) i različiti obrti (35), dok su druge kategorije tijela javne vlasti sudjelovale u nešto manjem broju.</w:t>
      </w:r>
    </w:p>
    <w:p w14:paraId="0D5C7C79" w14:textId="1D754BFA" w:rsidR="000C46FA" w:rsidRPr="002E5315" w:rsidRDefault="000C46FA" w:rsidP="000C46FA">
      <w:pPr>
        <w:rPr>
          <w:szCs w:val="23"/>
        </w:rPr>
      </w:pPr>
      <w:r w:rsidRPr="002E5315">
        <w:rPr>
          <w:b/>
          <w:szCs w:val="23"/>
        </w:rPr>
        <w:t>Najveći broj savjetovanja s javnošću tijekom 2019., provelo je Ministarstvo poljoprivrede (168)</w:t>
      </w:r>
      <w:r w:rsidRPr="002E5315">
        <w:rPr>
          <w:szCs w:val="23"/>
        </w:rPr>
        <w:t>, kao i ranijih godina, a također u skladu s rezultatima ranijih godina najveći broj savjetovanja s javnošću</w:t>
      </w:r>
      <w:r w:rsidR="00954DB8" w:rsidRPr="002E5315">
        <w:rPr>
          <w:szCs w:val="23"/>
        </w:rPr>
        <w:t xml:space="preserve"> </w:t>
      </w:r>
      <w:r w:rsidRPr="002E5315">
        <w:rPr>
          <w:szCs w:val="23"/>
        </w:rPr>
        <w:t>organizirali su resori u čijem se djelokrugu na godišnjoj razini priprema veliki broj akata - Ministarstvo zaštite okoliša i energetike (79), Ministarstvo financija (74) i Ministarstvo znanosti i obrazovanja (61). Izuzetno velik broj savjetovanja godišnje pripremi Hrvatska agencija za nadzor financijskih usluga, koja je provela ukupno čak 95 savjetovanja, gotovo dvostruko više nego prethodne godine.</w:t>
      </w:r>
    </w:p>
    <w:p w14:paraId="3811E2CC" w14:textId="77777777" w:rsidR="00633D93" w:rsidRDefault="000C46FA" w:rsidP="000C46FA">
      <w:pPr>
        <w:rPr>
          <w:szCs w:val="23"/>
        </w:rPr>
      </w:pPr>
      <w:r w:rsidRPr="002E5315">
        <w:rPr>
          <w:szCs w:val="23"/>
        </w:rPr>
        <w:t>Detaljniji podaci bit će dostupni u Izvješću Ureda za zakonodavstvo Vlade RH o provedbi savjetovanja sa zainteresiranom javnošću u postupcima donošenja zakona, drugih propisa i akata u 2018</w:t>
      </w:r>
      <w:r w:rsidR="00633D93">
        <w:rPr>
          <w:szCs w:val="23"/>
        </w:rPr>
        <w:t>.</w:t>
      </w:r>
    </w:p>
    <w:p w14:paraId="42B7F8B8" w14:textId="77777777" w:rsidR="00633D93" w:rsidRDefault="000C46FA" w:rsidP="000C46FA">
      <w:pPr>
        <w:rPr>
          <w:b/>
          <w:szCs w:val="23"/>
        </w:rPr>
      </w:pPr>
      <w:r w:rsidRPr="002E5315">
        <w:rPr>
          <w:szCs w:val="23"/>
        </w:rPr>
        <w:t xml:space="preserve">Za vrijeme trajanja savjetovanja s javnošću, putem sustava je dostavljeno nešto manje primljenih komentara - </w:t>
      </w:r>
      <w:bookmarkStart w:id="89" w:name="_Hlk34905004"/>
      <w:r w:rsidRPr="002E5315">
        <w:rPr>
          <w:szCs w:val="23"/>
        </w:rPr>
        <w:t>ukupno 19.543 komentara (u 2018. 23.035 komentara</w:t>
      </w:r>
      <w:bookmarkEnd w:id="89"/>
      <w:r w:rsidRPr="002E5315">
        <w:rPr>
          <w:szCs w:val="23"/>
        </w:rPr>
        <w:t>).</w:t>
      </w:r>
      <w:r w:rsidRPr="002E5315">
        <w:rPr>
          <w:b/>
          <w:szCs w:val="23"/>
        </w:rPr>
        <w:t xml:space="preserve"> Prihvaćeno ih je 3039 odnosno 16% </w:t>
      </w:r>
      <w:r w:rsidR="00633D93">
        <w:rPr>
          <w:b/>
          <w:szCs w:val="23"/>
        </w:rPr>
        <w:t>(</w:t>
      </w:r>
      <w:r w:rsidRPr="002E5315">
        <w:rPr>
          <w:b/>
          <w:szCs w:val="23"/>
        </w:rPr>
        <w:t>2018. prihvaćeno je 13% komentara), a djelomično prihvaćeno 1.236 (6%), dakle ukupno oko 22%, što predstavlja povećanje od 2% u odnosu na godinu ranije</w:t>
      </w:r>
      <w:r w:rsidR="00633D93">
        <w:rPr>
          <w:b/>
          <w:szCs w:val="23"/>
        </w:rPr>
        <w:t>.</w:t>
      </w:r>
    </w:p>
    <w:p w14:paraId="340C2EE5" w14:textId="77777777" w:rsidR="00633D93" w:rsidRDefault="000C46FA" w:rsidP="000C46FA">
      <w:pPr>
        <w:rPr>
          <w:b/>
          <w:szCs w:val="23"/>
        </w:rPr>
      </w:pPr>
      <w:r w:rsidRPr="002E5315">
        <w:rPr>
          <w:szCs w:val="23"/>
        </w:rPr>
        <w:t>Nije prihvaćeno 5.983 komentara (oko 31%, kao i ranijih godina</w:t>
      </w:r>
      <w:r w:rsidR="00373D9D">
        <w:rPr>
          <w:szCs w:val="23"/>
        </w:rPr>
        <w:t>)</w:t>
      </w:r>
      <w:r w:rsidRPr="002E5315">
        <w:rPr>
          <w:szCs w:val="23"/>
        </w:rPr>
        <w:t xml:space="preserve">. Iako značajno manji nego ranijih godina, udio od 25% otpada na </w:t>
      </w:r>
      <w:r w:rsidRPr="002E5315">
        <w:rPr>
          <w:b/>
          <w:szCs w:val="23"/>
        </w:rPr>
        <w:t>komentare koji su samo primljeni na znanje – 5047 (8.500 ili 37% u 2018.</w:t>
      </w:r>
      <w:r w:rsidR="00633D93">
        <w:rPr>
          <w:b/>
          <w:szCs w:val="23"/>
        </w:rPr>
        <w:t>)</w:t>
      </w:r>
      <w:r w:rsidRPr="002E5315">
        <w:rPr>
          <w:b/>
          <w:szCs w:val="23"/>
        </w:rPr>
        <w:t>. Ističemo veliki broj komentara na koji nije odgovoreno 4.238 (21,7%) što je značajno više nego u prošlom razdoblju kad je bez odgovora ostalo 12,5</w:t>
      </w:r>
      <w:r w:rsidR="0085052B" w:rsidRPr="002E5315">
        <w:rPr>
          <w:b/>
          <w:szCs w:val="23"/>
        </w:rPr>
        <w:t>%</w:t>
      </w:r>
      <w:r w:rsidR="00633D93">
        <w:rPr>
          <w:b/>
          <w:szCs w:val="23"/>
        </w:rPr>
        <w:t>.</w:t>
      </w:r>
    </w:p>
    <w:p w14:paraId="315ADC92" w14:textId="26CD7B9E" w:rsidR="0085052B" w:rsidRPr="002E5315" w:rsidRDefault="0085052B" w:rsidP="00773645">
      <w:pPr>
        <w:pStyle w:val="Naslov3"/>
      </w:pPr>
      <w:bookmarkStart w:id="90" w:name="_Toc36308984"/>
      <w:r w:rsidRPr="002E5315">
        <w:t>Jedinice lokalne i područne (regionalne) samouprave</w:t>
      </w:r>
      <w:bookmarkEnd w:id="90"/>
      <w:r w:rsidRPr="002E5315">
        <w:t xml:space="preserve"> </w:t>
      </w:r>
    </w:p>
    <w:p w14:paraId="58D55511" w14:textId="77777777" w:rsidR="00633D93" w:rsidRDefault="005924FB" w:rsidP="005924FB">
      <w:pPr>
        <w:rPr>
          <w:szCs w:val="23"/>
        </w:rPr>
      </w:pPr>
      <w:r w:rsidRPr="002E5315">
        <w:rPr>
          <w:szCs w:val="23"/>
        </w:rPr>
        <w:t>U izvještajnom je razdoblju Povjerenik nastavio s praćenjem transparentnosti i otvorenosti 143 JLP(R)S u 5 županija – Istarskoj, Virovitičko-podravskoj, Međimurskoj, Vukovarsko-srijemskoj i Koprivničko-križevačkoj županiji – temeljem kojeg je uočeno, kao i u drugim praćenim županijama, da je razina provedbe obveze provedbe savjetovanja s javnošću izrazito niska</w:t>
      </w:r>
      <w:r w:rsidR="00633D93">
        <w:rPr>
          <w:szCs w:val="23"/>
        </w:rPr>
        <w:t>.</w:t>
      </w:r>
    </w:p>
    <w:p w14:paraId="305E493C" w14:textId="27CF5AA6" w:rsidR="005924FB" w:rsidRPr="002E5315" w:rsidRDefault="005924FB" w:rsidP="005924FB">
      <w:pPr>
        <w:rPr>
          <w:szCs w:val="23"/>
        </w:rPr>
      </w:pPr>
      <w:r w:rsidRPr="002E5315">
        <w:rPr>
          <w:bCs/>
          <w:szCs w:val="23"/>
        </w:rPr>
        <w:t>Najviša razina ispunjenja ove obveze utvrđena je u Virovitičko-podravskoj županiji</w:t>
      </w:r>
      <w:r w:rsidRPr="002E5315">
        <w:rPr>
          <w:szCs w:val="23"/>
        </w:rPr>
        <w:t>, gdje je 14 od 17 jedinica (82,3%) provel</w:t>
      </w:r>
      <w:r w:rsidR="00373D9D">
        <w:rPr>
          <w:szCs w:val="23"/>
        </w:rPr>
        <w:t>o</w:t>
      </w:r>
      <w:r w:rsidRPr="002E5315">
        <w:rPr>
          <w:szCs w:val="23"/>
        </w:rPr>
        <w:t xml:space="preserve"> barem jedan postupak savjetovanja, pri čemu su jedinice s najboljim kumulativnim rezultatom </w:t>
      </w:r>
      <w:r w:rsidRPr="002E5315">
        <w:rPr>
          <w:bCs/>
          <w:szCs w:val="23"/>
        </w:rPr>
        <w:t xml:space="preserve">bili </w:t>
      </w:r>
      <w:r w:rsidR="008C7890">
        <w:rPr>
          <w:bCs/>
          <w:szCs w:val="23"/>
        </w:rPr>
        <w:t>G</w:t>
      </w:r>
      <w:r w:rsidRPr="002E5315">
        <w:rPr>
          <w:bCs/>
          <w:szCs w:val="23"/>
        </w:rPr>
        <w:t>rad Virovitica te općine Sopje, Nova Bukovica i Pitomača</w:t>
      </w:r>
      <w:r w:rsidRPr="002E5315">
        <w:rPr>
          <w:szCs w:val="23"/>
        </w:rPr>
        <w:t>, dok su ostale jedinice bile manje uspješne. Slijedi Koprivničko-križevačka županija, u kojoj je 21 od 26 jedinica (81%) provodilo savjetovanja i ispunjavalo ostale zakonske obveze iz članka 11.</w:t>
      </w:r>
      <w:r w:rsidR="00954DB8" w:rsidRPr="002E5315">
        <w:rPr>
          <w:szCs w:val="23"/>
        </w:rPr>
        <w:t xml:space="preserve"> </w:t>
      </w:r>
      <w:r w:rsidRPr="002E5315">
        <w:rPr>
          <w:szCs w:val="23"/>
        </w:rPr>
        <w:t xml:space="preserve">Uz </w:t>
      </w:r>
      <w:r w:rsidRPr="002E5315">
        <w:rPr>
          <w:szCs w:val="23"/>
        </w:rPr>
        <w:lastRenderedPageBreak/>
        <w:t>Koprivničko-križevačku županiju i Grad Koprivnicu, istaknule su se i općine Drnje, Đelekovec i Hlebine. U Istarskoj županiji koja je evaluirana sa 73,8% tijela koja su ispunjavala obvezu provedbe savjetovanja, objave plana savjetovanja i objave izvješća o provedenim savjetovanjima, s najvećim brojem bodova istaknuli su se gradovi Buzet, Labin, Pula i Umag. 20 od 32 (62,5%) jedinica s područja Vukovarsko-srijemske županije ispunjavalo je u makar djelomično zakonske obveze, od kojih najviše gradovi Vinkovci i Vukovar, te općine Jarmina, Tompojevci i Nijemci. Najnižu razinu ispunjavanja ove zakonske obveze bilježi Međimurska županija, gdje je uočen najveći udio jedinica koja uopće nisu provodila niti jedan segment provedbe savjetovanja s javnošću –čak 15 od 26, što znači da je svega 42% jedinica provodilo ovu zakonsku obvezu u nekoj mjeri. U toj županiji, samo je jedna općina prema utvrđenoj metodologiji ostvarila maksimalni broj bodova – Selnica.</w:t>
      </w:r>
    </w:p>
    <w:p w14:paraId="2C2C47CF" w14:textId="7A77DE5B" w:rsidR="005924FB" w:rsidRPr="002E5315" w:rsidRDefault="005924FB" w:rsidP="005924FB">
      <w:pPr>
        <w:rPr>
          <w:szCs w:val="23"/>
        </w:rPr>
      </w:pPr>
      <w:r w:rsidRPr="002E5315">
        <w:rPr>
          <w:szCs w:val="23"/>
        </w:rPr>
        <w:t>Ukupno uzevši, među promatranih 143 jedinic</w:t>
      </w:r>
      <w:r w:rsidR="008C7890">
        <w:rPr>
          <w:szCs w:val="23"/>
        </w:rPr>
        <w:t>a</w:t>
      </w:r>
      <w:r w:rsidRPr="002E5315">
        <w:rPr>
          <w:szCs w:val="23"/>
        </w:rPr>
        <w:t xml:space="preserve"> </w:t>
      </w:r>
      <w:r w:rsidRPr="002E5315">
        <w:rPr>
          <w:bCs/>
          <w:szCs w:val="23"/>
        </w:rPr>
        <w:t>najveći broj savjetovanja provele</w:t>
      </w:r>
      <w:r w:rsidR="008C7890">
        <w:rPr>
          <w:bCs/>
          <w:szCs w:val="23"/>
        </w:rPr>
        <w:t xml:space="preserve"> su</w:t>
      </w:r>
      <w:r w:rsidRPr="002E5315">
        <w:rPr>
          <w:bCs/>
          <w:szCs w:val="23"/>
        </w:rPr>
        <w:t xml:space="preserve"> Općina Pitomača (34 savjetovanja), Grad Koprivnica (31 savjetovanje), Grad Umag (25 savjetovanja)</w:t>
      </w:r>
      <w:r w:rsidR="008C7890">
        <w:rPr>
          <w:bCs/>
          <w:szCs w:val="23"/>
        </w:rPr>
        <w:t xml:space="preserve"> i</w:t>
      </w:r>
      <w:r w:rsidRPr="002E5315">
        <w:rPr>
          <w:bCs/>
          <w:szCs w:val="23"/>
        </w:rPr>
        <w:t xml:space="preserve"> Općina Andrijaševci (24 savjetovanja).</w:t>
      </w:r>
      <w:r w:rsidRPr="002E5315">
        <w:rPr>
          <w:szCs w:val="23"/>
        </w:rPr>
        <w:t xml:space="preserve"> Osim neadekvatnih procjena postojanja obveze provedbe savjetovanja i nepoštivanja zakonskog roka trajanja savjetovanja, praćenjem je utvrđeno da neke JLP(R)S ne objavljuju izvješća o provedenom savjetovanju, kao i da su informacije vezane za savjetovanja objavljene na različitim portalima i u raznim rubrikama, odnosno nisu u skladu s načelom lake pretraživosti.</w:t>
      </w:r>
    </w:p>
    <w:p w14:paraId="39CB8ED7" w14:textId="2A51BFBC" w:rsidR="005924FB" w:rsidRPr="002E5315" w:rsidRDefault="005924FB" w:rsidP="005924FB">
      <w:pPr>
        <w:rPr>
          <w:bCs/>
          <w:szCs w:val="23"/>
        </w:rPr>
      </w:pPr>
      <w:r w:rsidRPr="002E5315">
        <w:rPr>
          <w:szCs w:val="23"/>
        </w:rPr>
        <w:t xml:space="preserve">Najrazvidniji nalaz analitičkog praćenja provedbe savjetovanja je činjenica da se građani i korisnici rijetko uključuju, budući da je uočena vrlo niska razina sudjelovanja u ionako premalom broju provedenih savjetovanja. Nezadovoljavajući je rezultat praćenja koji ukazuje na činjenicu da je samo 97 od 143 JLP(R)S (67,83%) u određenoj mjeri provodilo savjetovanja s javnošću, iako je najveći broj jedinica koje su provele savjetovanje to učinilo za samo jedan ili dva dokumenta. </w:t>
      </w:r>
      <w:r w:rsidRPr="002E5315">
        <w:rPr>
          <w:bCs/>
          <w:szCs w:val="23"/>
        </w:rPr>
        <w:t>Naime, čak i površnim uvidom u službena glasila jasno je da je donesen i objavljen značajan broj akata za koje je po njihovoj prirodi razvidno da je postojala obveza provedbe savjetovanja.</w:t>
      </w:r>
    </w:p>
    <w:p w14:paraId="5133A240" w14:textId="767D19D0" w:rsidR="005924FB" w:rsidRPr="002E5315" w:rsidRDefault="005924FB" w:rsidP="005924FB">
      <w:pPr>
        <w:rPr>
          <w:szCs w:val="23"/>
        </w:rPr>
      </w:pPr>
      <w:r w:rsidRPr="002E5315">
        <w:rPr>
          <w:szCs w:val="23"/>
        </w:rPr>
        <w:t xml:space="preserve">Stoga se naglašava potreba ulaganja dodatnih napora u kapacitiranje </w:t>
      </w:r>
      <w:r w:rsidR="008C7890">
        <w:rPr>
          <w:szCs w:val="23"/>
        </w:rPr>
        <w:t>JLP(R)S</w:t>
      </w:r>
      <w:r w:rsidRPr="002E5315">
        <w:rPr>
          <w:szCs w:val="23"/>
        </w:rPr>
        <w:t xml:space="preserve"> za provedbu obveze savjetovanja s javnošću pri donošenju brojnih i važnih općih i planskih akata kojima se bitno utječe na interese korisnika. Povrh ovoga, potrebno je osigurati im i adekvatan alat u smislu načina provedbe savjetovanja s javnošću, kako je i naznačeno u Akcijskom planu za provedbu Partnerstva za otvorenu vlast za razdoblje do 2020., gdje se jedna od ključnih aktivnost odnosi na pokretanje sustava za provedbu e-Savjetovanja po uzoru na nacionalni portal e-Savjetovanja, a za općine, gradove i županije.</w:t>
      </w:r>
    </w:p>
    <w:p w14:paraId="44E44A6A" w14:textId="24EF96D0" w:rsidR="005924FB" w:rsidRPr="002E5315" w:rsidRDefault="005924FB" w:rsidP="005924FB">
      <w:pPr>
        <w:rPr>
          <w:bCs/>
          <w:iCs/>
          <w:szCs w:val="23"/>
        </w:rPr>
      </w:pPr>
      <w:r w:rsidRPr="002E5315">
        <w:rPr>
          <w:szCs w:val="23"/>
        </w:rPr>
        <w:t xml:space="preserve">Analiza svih podataka korištenih za praćenje provedbe savjetovanja s javnošću na nacionalnoj i regionalnoj razini, iako ukazuje na nominalno veći broj provedenih savjetovanja, pokazuje kako je u savjetovanjima u 2019. sudjelovalo manje korisnika, koji su podnijeli ukupno manje komentara. Međutim, potrebno je naglasiti da je </w:t>
      </w:r>
      <w:r w:rsidRPr="002E5315">
        <w:rPr>
          <w:bCs/>
          <w:iCs/>
          <w:szCs w:val="23"/>
        </w:rPr>
        <w:t>udio prihvaćenih komentara porastao, uz istodobni pad udjela komentara koji su samo primljeni na znanje, ali nažalost i porast udjela komentara koji su ostali bez odgovora. Isto znači da tijela izbjegavaju i kasne sa zakonskom obvezom objave izvješća o provedenom savjetovanju, usprkos obvezi da se ono priloži uz akt koji se šalje u daljnju proceduru.</w:t>
      </w:r>
    </w:p>
    <w:p w14:paraId="0507A432" w14:textId="30E22526" w:rsidR="005924FB" w:rsidRPr="002E5315" w:rsidRDefault="005924FB" w:rsidP="005924FB">
      <w:pPr>
        <w:rPr>
          <w:szCs w:val="23"/>
        </w:rPr>
      </w:pPr>
      <w:r w:rsidRPr="002E5315">
        <w:rPr>
          <w:szCs w:val="23"/>
        </w:rPr>
        <w:t>Razvidna je daljnja potreba podizanja kapaciteta tijela javne vlasti koja su obveznici provedbe savjetovanja s javnošću</w:t>
      </w:r>
      <w:r w:rsidR="00954DB8" w:rsidRPr="002E5315">
        <w:rPr>
          <w:szCs w:val="23"/>
        </w:rPr>
        <w:t xml:space="preserve"> </w:t>
      </w:r>
      <w:r w:rsidRPr="002E5315">
        <w:rPr>
          <w:szCs w:val="23"/>
        </w:rPr>
        <w:t>da</w:t>
      </w:r>
      <w:r w:rsidR="00954DB8" w:rsidRPr="002E5315">
        <w:rPr>
          <w:szCs w:val="23"/>
        </w:rPr>
        <w:t xml:space="preserve"> </w:t>
      </w:r>
      <w:r w:rsidRPr="002E5315">
        <w:rPr>
          <w:szCs w:val="23"/>
        </w:rPr>
        <w:t xml:space="preserve">pravilno primjene sve korake u provedbi ove zakonske obveze, ali i razine znanja među korisnicima čiji komentari nisu strukturirani i vezani uz pojedine članke pa </w:t>
      </w:r>
      <w:r w:rsidRPr="002E5315">
        <w:rPr>
          <w:szCs w:val="23"/>
        </w:rPr>
        <w:lastRenderedPageBreak/>
        <w:t>čak ni relevantni za akt o kojem je savjetovanje otvoreno, nerijetko su uopćeni, na što nositelj izrade akta teško može kvalitetno odgovoriti. Nadalje, dodatno se naglašava ranije iznesena ocjena da je potrebno jačati edukativne aktivnosti Ureda povjerenika kako one usmjerene na koordinatore za savjetovanja, tako i na čelnike tijela i rukovodeće službenike u tijelima koja su stručni nositelji izrade akata, kako bi razina objave izvješća o provedenom savjetovanju i njihova kvaliteta bila viša.</w:t>
      </w:r>
    </w:p>
    <w:p w14:paraId="1132C3EB" w14:textId="32E9C744" w:rsidR="005924FB" w:rsidRPr="002E5315" w:rsidRDefault="005924FB" w:rsidP="005924FB">
      <w:pPr>
        <w:rPr>
          <w:szCs w:val="23"/>
        </w:rPr>
      </w:pPr>
      <w:r w:rsidRPr="002E5315">
        <w:rPr>
          <w:szCs w:val="23"/>
        </w:rPr>
        <w:t xml:space="preserve">O potrebi </w:t>
      </w:r>
      <w:r w:rsidR="008C7890">
        <w:rPr>
          <w:szCs w:val="23"/>
        </w:rPr>
        <w:t>jačanja</w:t>
      </w:r>
      <w:r w:rsidRPr="002E5315">
        <w:rPr>
          <w:szCs w:val="23"/>
        </w:rPr>
        <w:t xml:space="preserve"> edukativnih aktivnosti i sustavne suradnje, posebno na lokalnoj razini, govori i podatak o udjelu predstavki kojima se korisnici pritužuju radi različitih anomalija u postupku</w:t>
      </w:r>
      <w:r w:rsidR="00954DB8" w:rsidRPr="002E5315">
        <w:rPr>
          <w:szCs w:val="23"/>
        </w:rPr>
        <w:t xml:space="preserve"> </w:t>
      </w:r>
      <w:r w:rsidRPr="002E5315">
        <w:rPr>
          <w:szCs w:val="23"/>
        </w:rPr>
        <w:t>provedbe savjetovanja s javnošću – njihov je udio u odnosu na prethodnu godinu narastao za 100% i bio je temeljem za postupanje u 10% svih predstavki temeljem kojih je Povjerenik poduzimao aktivnosti. Kad je riječ o</w:t>
      </w:r>
      <w:r w:rsidR="00954DB8" w:rsidRPr="002E5315">
        <w:rPr>
          <w:szCs w:val="23"/>
        </w:rPr>
        <w:t xml:space="preserve"> </w:t>
      </w:r>
      <w:r w:rsidRPr="002E5315">
        <w:rPr>
          <w:szCs w:val="23"/>
        </w:rPr>
        <w:t>najčešćem razlogu podnošenja predstavki, i dalje se odnose na trajanje provedbe savjetovanja i na objavu izvješća o provedenom savjetovanju.</w:t>
      </w:r>
    </w:p>
    <w:p w14:paraId="6392D939" w14:textId="49ED2F0E" w:rsidR="005924FB" w:rsidRPr="002E5315" w:rsidRDefault="005924FB" w:rsidP="005924FB">
      <w:pPr>
        <w:rPr>
          <w:szCs w:val="23"/>
        </w:rPr>
      </w:pPr>
      <w:r w:rsidRPr="002E5315">
        <w:rPr>
          <w:szCs w:val="23"/>
        </w:rPr>
        <w:t>Unatoč dosta krutim kriterijima praćenja pokazatelja (samo više ili manje od 30 dana), ne uvažavajući nijanse u računanju rokova, ovi podaci, stavljeni u korelaciju s podacima iz analitičkih praćenja Povjerenika govore u prilog tezi da se</w:t>
      </w:r>
      <w:r w:rsidRPr="002E5315">
        <w:rPr>
          <w:b/>
          <w:bCs/>
          <w:szCs w:val="23"/>
        </w:rPr>
        <w:t xml:space="preserve"> od 2015. u smislu broja dana provedenih na savjetovanju ovaj zakonski institut,</w:t>
      </w:r>
      <w:r w:rsidR="00954DB8" w:rsidRPr="002E5315">
        <w:rPr>
          <w:b/>
          <w:bCs/>
          <w:szCs w:val="23"/>
        </w:rPr>
        <w:t xml:space="preserve"> </w:t>
      </w:r>
      <w:r w:rsidRPr="002E5315">
        <w:rPr>
          <w:b/>
          <w:bCs/>
          <w:szCs w:val="23"/>
        </w:rPr>
        <w:t>posebno za akte nižeg ranga, razvija u smjeru koji je obrnut od onog koji bi bio poželjan– u pravilu 30 dana.</w:t>
      </w:r>
      <w:r w:rsidR="00954DB8" w:rsidRPr="002E5315">
        <w:rPr>
          <w:b/>
          <w:bCs/>
          <w:szCs w:val="23"/>
        </w:rPr>
        <w:t xml:space="preserve"> </w:t>
      </w:r>
      <w:r w:rsidRPr="002E5315">
        <w:rPr>
          <w:szCs w:val="23"/>
        </w:rPr>
        <w:t>Opetovano se ukazuje na potrebu cjelovitijeg propisivanja rokova provedbe savjetovanja i mogućih iznimki, slijedom praćenih podataka unatrag 4 usporediva ciklusa.</w:t>
      </w:r>
    </w:p>
    <w:p w14:paraId="13A44B28" w14:textId="2B32F837" w:rsidR="005924FB" w:rsidRPr="002E5315" w:rsidRDefault="005924FB" w:rsidP="005924FB">
      <w:pPr>
        <w:rPr>
          <w:szCs w:val="23"/>
        </w:rPr>
      </w:pPr>
      <w:r w:rsidRPr="002E5315">
        <w:rPr>
          <w:szCs w:val="23"/>
        </w:rPr>
        <w:t>Unatoč kontinuiranom povećanju udjela akata za koje se savjetovanje s javnošću organiziralo i povećanom udjelu prihvaćenih komentara u odnosu na ukupno zaprimljene komentare, značajan pad u broju sudionika i broju primljenih komentara, povećan udio neodgovorenih komentara i konačno – daljnje smanjivanje broja dana odvojenih za dijalog s građanima i drugim korisnicima, pokazuje u kojem se smjeru mora djelovati ako se želi osigurati daljnji kvalitativni iskorak u provedbi savjetovanja s javnošću u Hrvatskoj. Pri tome je iznimno važno pružanje</w:t>
      </w:r>
      <w:r w:rsidR="00954DB8" w:rsidRPr="002E5315">
        <w:rPr>
          <w:szCs w:val="23"/>
        </w:rPr>
        <w:t xml:space="preserve"> </w:t>
      </w:r>
      <w:r w:rsidRPr="002E5315">
        <w:rPr>
          <w:szCs w:val="23"/>
        </w:rPr>
        <w:t>sistemske potpore i kapacitiranja tijela na lokalnoj razini, koji donose kumulativno najveći broj odluka koje najizravnije utječu na interese građana i njihov svakodnevni život.</w:t>
      </w:r>
    </w:p>
    <w:p w14:paraId="0A057B7C" w14:textId="20E40324" w:rsidR="0085052B" w:rsidRPr="002E5315" w:rsidRDefault="005924FB" w:rsidP="005924FB">
      <w:pPr>
        <w:rPr>
          <w:szCs w:val="23"/>
        </w:rPr>
      </w:pPr>
      <w:r w:rsidRPr="002E5315">
        <w:rPr>
          <w:bCs/>
          <w:iCs/>
          <w:szCs w:val="23"/>
        </w:rPr>
        <w:t>Neodređena odredba ZPPI-ja koja predviđa rok za savjetovanje s javnošću od u pravilu 30 dana, utjecala je na skraćivanje tog roka kod niza tijela, što ukazuje na ponovnu potrebu preciziranja trajanja savjetovanja</w:t>
      </w:r>
      <w:r w:rsidRPr="002E5315">
        <w:rPr>
          <w:bCs/>
          <w:szCs w:val="23"/>
        </w:rPr>
        <w:t xml:space="preserve"> s javnošću</w:t>
      </w:r>
      <w:r w:rsidRPr="002E5315">
        <w:rPr>
          <w:b/>
          <w:bCs/>
          <w:szCs w:val="23"/>
        </w:rPr>
        <w:t>,</w:t>
      </w:r>
      <w:r w:rsidRPr="002E5315">
        <w:rPr>
          <w:szCs w:val="23"/>
        </w:rPr>
        <w:t xml:space="preserve"> kako bi se dala prilika javnosti da svojim komentarima i prijedlozima utječe na kvalitetu akata koji se predlažu</w:t>
      </w:r>
      <w:r w:rsidR="0085052B" w:rsidRPr="002E5315">
        <w:rPr>
          <w:szCs w:val="23"/>
        </w:rPr>
        <w:t>.</w:t>
      </w:r>
    </w:p>
    <w:p w14:paraId="4B55C9D0" w14:textId="35A3B034" w:rsidR="0085052B" w:rsidRPr="002E5315" w:rsidRDefault="0085052B" w:rsidP="00773645">
      <w:pPr>
        <w:pStyle w:val="Naslov1"/>
        <w:rPr>
          <w:lang w:eastAsia="en-US"/>
        </w:rPr>
      </w:pPr>
      <w:bookmarkStart w:id="91" w:name="_Toc36308985"/>
      <w:r w:rsidRPr="002E5315">
        <w:rPr>
          <w:lang w:eastAsia="en-US"/>
        </w:rPr>
        <w:t>Ponovna uporaba informacija</w:t>
      </w:r>
      <w:bookmarkEnd w:id="91"/>
    </w:p>
    <w:p w14:paraId="62CFB783" w14:textId="0F925E27" w:rsidR="00976549" w:rsidRPr="002E5315" w:rsidRDefault="0085052B" w:rsidP="00E52BA8">
      <w:pPr>
        <w:pStyle w:val="Naslov2"/>
        <w:rPr>
          <w:rFonts w:eastAsiaTheme="minorHAnsi"/>
          <w:lang w:eastAsia="en-US"/>
        </w:rPr>
      </w:pPr>
      <w:bookmarkStart w:id="92" w:name="_Toc36308986"/>
      <w:r w:rsidRPr="002E5315">
        <w:rPr>
          <w:rFonts w:eastAsiaTheme="minorHAnsi"/>
          <w:lang w:eastAsia="en-US"/>
        </w:rPr>
        <w:t xml:space="preserve">Pravni okvir i politika </w:t>
      </w:r>
      <w:r w:rsidRPr="002E5315">
        <w:rPr>
          <w:rFonts w:eastAsiaTheme="minorHAnsi"/>
        </w:rPr>
        <w:t>otvorenih</w:t>
      </w:r>
      <w:r w:rsidRPr="002E5315">
        <w:rPr>
          <w:rFonts w:eastAsiaTheme="minorHAnsi"/>
          <w:lang w:eastAsia="en-US"/>
        </w:rPr>
        <w:t xml:space="preserve"> podataka</w:t>
      </w:r>
      <w:bookmarkEnd w:id="92"/>
    </w:p>
    <w:p w14:paraId="52BC754C" w14:textId="77777777" w:rsidR="005924FB" w:rsidRPr="002E5315" w:rsidRDefault="005924FB" w:rsidP="005924FB">
      <w:pPr>
        <w:rPr>
          <w:rFonts w:eastAsiaTheme="minorHAnsi" w:cstheme="minorBidi"/>
          <w:szCs w:val="23"/>
          <w:lang w:eastAsia="en-US"/>
        </w:rPr>
      </w:pPr>
      <w:r w:rsidRPr="002E5315">
        <w:rPr>
          <w:rFonts w:eastAsiaTheme="minorHAnsi" w:cstheme="minorBidi"/>
          <w:szCs w:val="23"/>
          <w:lang w:eastAsia="en-US"/>
        </w:rPr>
        <w:t xml:space="preserve">Vlada RH u srpnju 2018. usvojila Politiku otvorenih podataka - krovni dokument čija je svrha izgraditi i trajno razvijati okruženje poticajno za stvaranje nove društvene i gospodarske vrijednosti korištenjem podataka javnog sektora, a u kojem su utvrđeni temeljni ciljevi za čiju provedbu je odgovoran SDURDD. Međutim, iako je s ciljem operacionalizacije ciljeva Politike </w:t>
      </w:r>
      <w:r w:rsidRPr="002E5315">
        <w:rPr>
          <w:rFonts w:eastAsiaTheme="minorHAnsi" w:cstheme="minorBidi"/>
          <w:szCs w:val="23"/>
          <w:lang w:eastAsia="en-US"/>
        </w:rPr>
        <w:lastRenderedPageBreak/>
        <w:t>bilo predviđeno donošenje Akcijskog plana s razrađenim mjerama i aktivnostima provedbe, Akcijski plan nije donesen, a što je ograničavajuće utjecalo na daljnje pozitivne pomake u području otvaranja podataka pa time i olakšavanja ponovne uporabe.</w:t>
      </w:r>
    </w:p>
    <w:p w14:paraId="22ECCBA3" w14:textId="673B3543" w:rsidR="005924FB" w:rsidRPr="002E5315" w:rsidRDefault="005924FB" w:rsidP="005924FB">
      <w:pPr>
        <w:rPr>
          <w:rFonts w:eastAsiaTheme="minorHAnsi" w:cstheme="minorBidi"/>
          <w:szCs w:val="23"/>
          <w:lang w:eastAsia="en-US"/>
        </w:rPr>
      </w:pPr>
      <w:r w:rsidRPr="002E5315">
        <w:rPr>
          <w:rFonts w:eastAsiaTheme="minorHAnsi" w:cstheme="minorBidi"/>
          <w:szCs w:val="23"/>
          <w:lang w:eastAsia="en-US"/>
        </w:rPr>
        <w:t xml:space="preserve">U međuvremenu, </w:t>
      </w:r>
      <w:r w:rsidRPr="002E5315">
        <w:rPr>
          <w:rFonts w:eastAsiaTheme="minorHAnsi" w:cstheme="minorBidi"/>
          <w:b/>
          <w:szCs w:val="23"/>
          <w:lang w:eastAsia="en-US"/>
        </w:rPr>
        <w:t>17. srpnja 2019. na snagu je stupila nova Direktiva (EU)</w:t>
      </w:r>
      <w:r w:rsidRPr="002E5315">
        <w:rPr>
          <w:rFonts w:eastAsiaTheme="minorHAnsi" w:cstheme="minorBidi"/>
          <w:szCs w:val="23"/>
          <w:lang w:eastAsia="en-US"/>
        </w:rPr>
        <w:t xml:space="preserve"> 2019/1024 Europskog parlamenta i vijeća o otvorenim podacima i ponovnoj uporabi informacija javnog sektora (</w:t>
      </w:r>
      <w:r w:rsidR="009403EA">
        <w:rPr>
          <w:rFonts w:eastAsiaTheme="minorHAnsi" w:cstheme="minorBidi"/>
          <w:szCs w:val="23"/>
          <w:lang w:eastAsia="en-US"/>
        </w:rPr>
        <w:t>dalje:</w:t>
      </w:r>
      <w:r w:rsidRPr="002E5315">
        <w:rPr>
          <w:rFonts w:eastAsiaTheme="minorHAnsi" w:cstheme="minorBidi"/>
          <w:szCs w:val="23"/>
          <w:lang w:eastAsia="en-US"/>
        </w:rPr>
        <w:t xml:space="preserve"> OD Direktiva), koj</w:t>
      </w:r>
      <w:r w:rsidR="008C7890">
        <w:rPr>
          <w:rFonts w:eastAsiaTheme="minorHAnsi" w:cstheme="minorBidi"/>
          <w:szCs w:val="23"/>
          <w:lang w:eastAsia="en-US"/>
        </w:rPr>
        <w:t>u</w:t>
      </w:r>
      <w:r w:rsidRPr="002E5315">
        <w:rPr>
          <w:rFonts w:eastAsiaTheme="minorHAnsi" w:cstheme="minorBidi"/>
          <w:szCs w:val="23"/>
          <w:lang w:eastAsia="en-US"/>
        </w:rPr>
        <w:t xml:space="preserve"> su 20. lipnja 2019. donijeli Europski parlament i Vijeće Europske unije.</w:t>
      </w:r>
    </w:p>
    <w:p w14:paraId="714CFCAF" w14:textId="5D691E6F" w:rsidR="005924FB" w:rsidRPr="002E5315" w:rsidRDefault="005924FB" w:rsidP="005924FB">
      <w:pPr>
        <w:rPr>
          <w:rFonts w:eastAsiaTheme="minorHAnsi" w:cstheme="minorBidi"/>
          <w:szCs w:val="23"/>
          <w:lang w:eastAsia="en-US"/>
        </w:rPr>
      </w:pPr>
      <w:r w:rsidRPr="002E5315">
        <w:rPr>
          <w:rFonts w:eastAsiaTheme="minorHAnsi" w:cstheme="minorBidi"/>
          <w:szCs w:val="23"/>
          <w:lang w:eastAsia="en-US"/>
        </w:rPr>
        <w:t>Novom Direktivom dodatno se naglašava usmjerenost tijela na pripremu podataka „za otvaranje“ radi poticanja ponovne uporabe i ublažavanje prepreka. Novine se odnose definiranje visokovrijednih skupova podataka i njihovu lakšu dostupnost zbog njihova društvenog i gospodarskog potencijala, na pružanje pristupa dinamičkim podacima u stvarnom vremenu s pomoću odgovarajućih tehničkih sredstava, kao i omogućavanje otvorenog stavljanja na raspolaganje istraživačkih podataka financiranim javnim sredstvima. Nadalje, ograničava se mogućnost sklapanja novih oblika isključivih prava, još više ograničava uporaba izuzeća od načela naplate graničnih troškova.</w:t>
      </w:r>
    </w:p>
    <w:p w14:paraId="3186C8ED" w14:textId="77777777" w:rsidR="005924FB" w:rsidRPr="002E5315" w:rsidRDefault="005924FB" w:rsidP="005924FB">
      <w:pPr>
        <w:rPr>
          <w:rFonts w:eastAsiaTheme="minorHAnsi" w:cstheme="minorBidi"/>
          <w:szCs w:val="23"/>
          <w:lang w:eastAsia="en-US"/>
        </w:rPr>
      </w:pPr>
      <w:r w:rsidRPr="002E5315">
        <w:rPr>
          <w:rFonts w:eastAsiaTheme="minorHAnsi" w:cstheme="minorBidi"/>
          <w:b/>
          <w:bCs/>
          <w:iCs/>
          <w:szCs w:val="23"/>
          <w:lang w:eastAsia="en-US"/>
        </w:rPr>
        <w:t>Poseban naglasak stavljen je na visokovrijedne skupove podataka, odnosno dokumente čija je ponovna uporaba povezana s važnim koristima za društvo, okoliš i gospodarstvo</w:t>
      </w:r>
      <w:r w:rsidRPr="002E5315">
        <w:rPr>
          <w:rFonts w:eastAsiaTheme="minorHAnsi" w:cstheme="minorBidi"/>
          <w:szCs w:val="23"/>
          <w:lang w:eastAsia="en-US"/>
        </w:rPr>
        <w:t>, osobito zbog njihove prikladnosti za stvaranje širokog spektra informacijskih proizvoda i usluga s dodanom vrijednošću, otvaranja novih, kvalitetnih radnih mjesta, te zbog brojnih mogućih korisnika usluga s dodanom vrijednošću i aplikacija koje se temelje na tim skupovima podataka. Kako bi se uspostavili uvjeti kojima se podupire ponovna uporaba visokovrijednih skupova podataka, u prilogu Direktive utvrđen je popis tematskih kategorija takvih skupova podataka, koji uključuje geoprostorne podatke, podatke koji se odnose na okoliš, meteorološke i statističke podatke, podatke o trgovačkim društvima i vlasništvu nad trgovačkim društvima te podatke koji se odnose na mobilnost.</w:t>
      </w:r>
    </w:p>
    <w:p w14:paraId="1AD6EF9C" w14:textId="77777777" w:rsidR="005924FB" w:rsidRPr="002E5315" w:rsidRDefault="005924FB" w:rsidP="005924FB">
      <w:pPr>
        <w:rPr>
          <w:rFonts w:eastAsiaTheme="minorHAnsi" w:cstheme="minorBidi"/>
          <w:szCs w:val="23"/>
          <w:lang w:eastAsia="en-US"/>
        </w:rPr>
      </w:pPr>
      <w:r w:rsidRPr="002E5315">
        <w:rPr>
          <w:rFonts w:eastAsiaTheme="minorHAnsi" w:cstheme="minorBidi"/>
          <w:b/>
          <w:bCs/>
          <w:szCs w:val="23"/>
          <w:lang w:eastAsia="en-US"/>
        </w:rPr>
        <w:t>Republika Hrvatska dužna je uskladiti svoje zakonodavstvo s odredbama nove Direktive najkasnije do 17. srpnja 2021.,</w:t>
      </w:r>
      <w:r w:rsidRPr="002E5315">
        <w:rPr>
          <w:rFonts w:eastAsiaTheme="minorHAnsi" w:cstheme="minorBidi"/>
          <w:szCs w:val="23"/>
          <w:lang w:eastAsia="en-US"/>
        </w:rPr>
        <w:t xml:space="preserve"> datuma kojim se stavljaju izvan snage dosadašnja Direktiva o ponovnoj uporabi informacija javnog sektora iz 2003. (Direktiva 2003/98/EZ) i njezine izmjene iz 2013. (Direktiva 2013/37/EU). S ciljem ispunjavanja navedena obveza, Ministarstvo uprave, kao nositelj, tijekom 2020. pristupit će izradi izmjena i dopuna ZPPI radi pune transpozicije Direktive.</w:t>
      </w:r>
    </w:p>
    <w:p w14:paraId="682322E4" w14:textId="5C16B544" w:rsidR="005924FB" w:rsidRPr="002E5315" w:rsidRDefault="005924FB" w:rsidP="005924FB">
      <w:pPr>
        <w:rPr>
          <w:rFonts w:eastAsiaTheme="minorHAnsi" w:cs="Segoe UI"/>
          <w:szCs w:val="23"/>
          <w:lang w:eastAsia="en-US"/>
        </w:rPr>
      </w:pPr>
      <w:r w:rsidRPr="002E5315">
        <w:rPr>
          <w:rFonts w:eastAsiaTheme="minorHAnsi" w:cs="Segoe UI"/>
          <w:szCs w:val="23"/>
          <w:lang w:eastAsia="en-US"/>
        </w:rPr>
        <w:t xml:space="preserve">Status provedbe politike otvorenih podataka i zrelosti portala otvorenih podataka, Europska komisija svake godine vrednuje putem izvješća </w:t>
      </w:r>
      <w:r w:rsidRPr="002E5315">
        <w:rPr>
          <w:rFonts w:eastAsiaTheme="minorHAnsi" w:cs="Segoe UI"/>
          <w:i/>
          <w:szCs w:val="23"/>
          <w:lang w:eastAsia="en-US"/>
        </w:rPr>
        <w:t>Open Data Maturity in Europe</w:t>
      </w:r>
      <w:r w:rsidRPr="002E5315">
        <w:rPr>
          <w:rFonts w:eastAsiaTheme="minorHAnsi" w:cs="Segoe UI"/>
          <w:szCs w:val="23"/>
          <w:lang w:eastAsia="en-US"/>
        </w:rPr>
        <w:t xml:space="preserve">, temeljem podataka dostavljenih u obliku tzv. </w:t>
      </w:r>
      <w:r w:rsidRPr="002E5315">
        <w:rPr>
          <w:rFonts w:eastAsiaTheme="minorHAnsi" w:cs="Segoe UI"/>
          <w:i/>
          <w:szCs w:val="23"/>
          <w:lang w:eastAsia="en-US"/>
        </w:rPr>
        <w:t>landscaping</w:t>
      </w:r>
      <w:r w:rsidRPr="002E5315">
        <w:rPr>
          <w:rFonts w:eastAsiaTheme="minorHAnsi" w:cs="Segoe UI"/>
          <w:szCs w:val="23"/>
          <w:lang w:eastAsia="en-US"/>
        </w:rPr>
        <w:t xml:space="preserve"> upitnika, kojeg ispred RH dostavlja SDURDD, u suradnji s Povjerenikom. U posljednjem istraživanju koje je obuhvatilo ukupno 32 države, Republika Hrvatska rangirana je na 12. mjestu. Prema izvješću, Republika Hrvatska ostvarila je dobre rezultate u strateškom, pravnom i institucionalnom okviru te kvaliteti otvorenih podataka, dok je s druge strane uočljiv nedostatak gospodarskog utjecaja otvorenih podataka, odnosno njihovog ponovnog korištenja u komercijalne svrhe.</w:t>
      </w:r>
    </w:p>
    <w:p w14:paraId="26FE7CDD" w14:textId="20FDBDCA" w:rsidR="005924FB" w:rsidRPr="002E5315" w:rsidRDefault="005924FB" w:rsidP="00F47FCD">
      <w:r w:rsidRPr="002E5315">
        <w:t xml:space="preserve">Iako se otvoreni podaci često karakteriziraju kao javno dobro te se ističe njihov potencijal da postanu resurs budućnosti, kao i da njihovom ponovnom uporabom u javnom, neprofitnom i </w:t>
      </w:r>
      <w:r w:rsidRPr="002E5315">
        <w:lastRenderedPageBreak/>
        <w:t xml:space="preserve">poslovnom sektoru mogu postati ključ za razvoj društva, podizanje kvalitete života te sveukupan rast i razvoj, u Hrvatskoj nije uspostavljeno </w:t>
      </w:r>
      <w:r w:rsidRPr="002E5315">
        <w:rPr>
          <w:rFonts w:eastAsia="Calibri"/>
          <w:iCs/>
        </w:rPr>
        <w:t xml:space="preserve">dovoljno učinkovito </w:t>
      </w:r>
      <w:r w:rsidR="008C7890">
        <w:t>obavljanje</w:t>
      </w:r>
      <w:r w:rsidRPr="002E5315">
        <w:t xml:space="preserve"> poslova oko unaprjeđenja otvaranja podataka u posjedu tijela javne vlasti.</w:t>
      </w:r>
    </w:p>
    <w:p w14:paraId="0C0903AE" w14:textId="2D972C20" w:rsidR="005924FB" w:rsidRPr="002E5315" w:rsidRDefault="005924FB" w:rsidP="00F47FCD">
      <w:r w:rsidRPr="002E5315">
        <w:t>Sam institucionalni okvir potrebno je postaviti na način da SDURDD kao središnje tijelo državne uprave, preuzme glavnu ulogu u koordinaciji i poticanju tijela na sustavno otvaranje podataka, dok Povjerenik, kao neovisno državno tijelo odgovorno parlamentu, obavlja zaštitnu ulogu u slučaju izjavljivanja žalbe zbog nemogućnosti ostvarenja prava na ponovnu uporabu informacija te promicateljsku ulogu u smislu suradnje s ključnim tijelima te poticanja tijela i korisnika prilikom edukativno-promotivnih aktivnosti na objavu i korištenje otvorenih podataka.</w:t>
      </w:r>
    </w:p>
    <w:p w14:paraId="62216099" w14:textId="77777777" w:rsidR="00633D93" w:rsidRDefault="005924FB" w:rsidP="00F47FCD">
      <w:r w:rsidRPr="002E5315">
        <w:t xml:space="preserve">Neispunjavanje zakonske obveze iz točke 5. članka 10. ZPPI-ja, kao i potpuno nerazumijevanje te neshvaćanje režima ponovne uporaba informacija i obveze objave skupova podataka u strojno čitljivom, otvorenom formatu, prikazano </w:t>
      </w:r>
      <w:r w:rsidRPr="002462CA">
        <w:t xml:space="preserve">je u poglavlju </w:t>
      </w:r>
      <w:r w:rsidR="002462CA" w:rsidRPr="002462CA">
        <w:t>7.3.</w:t>
      </w:r>
      <w:r w:rsidRPr="002462CA">
        <w:t>, gdje su</w:t>
      </w:r>
      <w:r w:rsidRPr="002E5315">
        <w:t xml:space="preserve"> obrađeni podaci iz dostavljenih izvješća</w:t>
      </w:r>
      <w:r w:rsidR="00633D93">
        <w:t>.</w:t>
      </w:r>
    </w:p>
    <w:p w14:paraId="69C140DD" w14:textId="0B2D40F3" w:rsidR="0085052B" w:rsidRPr="002E5315" w:rsidRDefault="0085052B" w:rsidP="00773645">
      <w:pPr>
        <w:pStyle w:val="Naslov2"/>
      </w:pPr>
      <w:bookmarkStart w:id="93" w:name="_Toc36308987"/>
      <w:r w:rsidRPr="002E5315">
        <w:t>Objava otvorenih podataka i portali</w:t>
      </w:r>
      <w:bookmarkEnd w:id="93"/>
    </w:p>
    <w:p w14:paraId="239B85F7" w14:textId="77777777" w:rsidR="00633D93" w:rsidRDefault="005924FB" w:rsidP="00FA0B04">
      <w:pPr>
        <w:rPr>
          <w:rFonts w:cs="Segoe UI"/>
        </w:rPr>
      </w:pPr>
      <w:r w:rsidRPr="002E5315">
        <w:t xml:space="preserve">Podaci dostavljeni od SDURDD-a, koji vodi i održava Portal otvorenih podataka, a na kojem nema značajnijih promjena u odnosu na prijašnje godine, svjedoče u prilog naprijed iznesenoj konstataciji. Iako su portali otvorenih podataka najvažnije točke pristupa objavljenim skupovima podataka, na nacionalnom Portalu </w:t>
      </w:r>
      <w:r w:rsidRPr="002E5315">
        <w:rPr>
          <w:rFonts w:cs="Segoe UI"/>
        </w:rPr>
        <w:t>objavljeno je samo 595 skupova podataka (20 više nego 2018.), od čega se 296 nalazi u formatima kao što su CSV</w:t>
      </w:r>
      <w:r w:rsidRPr="002E5315">
        <w:t xml:space="preserve">, JSON, XML, a 366 u XLS formatu. Ujedno je SDURDD izvijestio da su tijekom 2019. na Portal dodana dva nova izdavača (74 u odnosu na 72 u 2018.), dok se broj društveno korisnih aplikacija koje koriste otvorene podatke nije mijenjao od 2017. (21). </w:t>
      </w:r>
      <w:r w:rsidRPr="002E5315">
        <w:rPr>
          <w:rFonts w:cs="Segoe UI"/>
        </w:rPr>
        <w:t>U predmetnom izvješću SDURDD je naveo da je u svibnju 2019. potpisao ugovor o dodjeli bespovratnih sredstava za projekt „Prilagodba informacijskih sustava tijela javnog sektora Portalu otvorenih podataka“, čija je ukupna vrijednost 6.798.000 kn, stoga se očekuju pozitivni pomaci u narednom razdoblju te preostaje vidjeti hoće li otvoreni podaci u RH konačno imati osjetniji društveni i gospodarski učinak</w:t>
      </w:r>
      <w:r w:rsidR="00633D93">
        <w:rPr>
          <w:rFonts w:cs="Segoe UI"/>
        </w:rPr>
        <w:t>.</w:t>
      </w:r>
    </w:p>
    <w:p w14:paraId="30E75B00" w14:textId="30756B20" w:rsidR="0085052B" w:rsidRPr="002E5315" w:rsidRDefault="005924FB" w:rsidP="00FA0B04">
      <w:pPr>
        <w:rPr>
          <w:rFonts w:cs="Segoe UI"/>
        </w:rPr>
      </w:pPr>
      <w:r w:rsidRPr="002E5315">
        <w:t xml:space="preserve">Osim nacionalnog portala, vlastite portale </w:t>
      </w:r>
      <w:r w:rsidRPr="002E5315">
        <w:rPr>
          <w:rFonts w:cs="Segoe UI"/>
        </w:rPr>
        <w:t xml:space="preserve">vode </w:t>
      </w:r>
      <w:hyperlink r:id="rId36" w:history="1">
        <w:r w:rsidRPr="002E5315">
          <w:rPr>
            <w:rFonts w:cs="Segoe UI"/>
          </w:rPr>
          <w:t>Grad Rijeka</w:t>
        </w:r>
      </w:hyperlink>
      <w:r w:rsidRPr="002E5315">
        <w:rPr>
          <w:rFonts w:cs="Segoe UI"/>
        </w:rPr>
        <w:t xml:space="preserve"> sa 116 skupova podataka (pet manje u odnosu na godinu ranije), </w:t>
      </w:r>
      <w:hyperlink r:id="rId37" w:history="1">
        <w:r w:rsidRPr="002E5315">
          <w:rPr>
            <w:rFonts w:cs="Segoe UI"/>
          </w:rPr>
          <w:t>Grad Zagreb</w:t>
        </w:r>
      </w:hyperlink>
      <w:r w:rsidRPr="002E5315">
        <w:rPr>
          <w:rFonts w:cs="Segoe UI"/>
        </w:rPr>
        <w:t xml:space="preserve"> sa 68 (porast za 19 skupova) i </w:t>
      </w:r>
      <w:hyperlink r:id="rId38" w:history="1">
        <w:r w:rsidRPr="002E5315">
          <w:rPr>
            <w:rFonts w:cs="Segoe UI"/>
          </w:rPr>
          <w:t>Grad Virovitica</w:t>
        </w:r>
      </w:hyperlink>
      <w:r w:rsidRPr="002E5315">
        <w:rPr>
          <w:rFonts w:cs="Segoe UI"/>
        </w:rPr>
        <w:t xml:space="preserve"> s istih šest skupova kao i prethodnih godina. Tijekom 2019. nijedna lokalna jedinica nije pokrenula novi portal, međutim, u trenutku pisanja ovog izvješća, krajem veljače 2020., otvoren je Portal otvorenih podataka Grada Varaždina, na kojem se trenutno nalaze tri skupa podataka</w:t>
      </w:r>
      <w:r w:rsidR="0085052B" w:rsidRPr="002E5315">
        <w:rPr>
          <w:rFonts w:cs="Segoe UI"/>
        </w:rPr>
        <w:t>.</w:t>
      </w:r>
    </w:p>
    <w:p w14:paraId="369AD043" w14:textId="59FB814E" w:rsidR="0085052B" w:rsidRPr="002E5315" w:rsidRDefault="0085052B" w:rsidP="00F86207">
      <w:pPr>
        <w:pStyle w:val="Naslov2"/>
      </w:pPr>
      <w:bookmarkStart w:id="94" w:name="_Toc4677877"/>
      <w:bookmarkStart w:id="95" w:name="_Toc36308988"/>
      <w:r w:rsidRPr="002E5315">
        <w:t>Poseban pravni režim ponovne uporabe informacija za knjižnice, muzeje i arhive</w:t>
      </w:r>
      <w:bookmarkEnd w:id="94"/>
      <w:bookmarkEnd w:id="95"/>
    </w:p>
    <w:p w14:paraId="11BEF051" w14:textId="77777777" w:rsidR="005924FB" w:rsidRPr="002E5315" w:rsidRDefault="005924FB" w:rsidP="00FA0B04">
      <w:r w:rsidRPr="002E5315">
        <w:t xml:space="preserve">Iako se poseban režim ponovne uporabe informacije primjenjuje i na dio kulturnih djelatnosti, odnosno na knjižnice, muzeje i arhive, njihovo su otvaranje i digitalizacija opsežne građe potpuno razdvojeni od cjelokupnog koncepta i shvaćanja ponovne uporabe i otvaranja podataka u RH. Tome svjedoče i brojni odgovori knjižnica i muzeja u godišnjim izvješćima, iz kojih proizlazi da </w:t>
      </w:r>
      <w:r w:rsidRPr="002E5315">
        <w:lastRenderedPageBreak/>
        <w:t>zahtjeve za posudbom knjiga ili za pristupanjem muzejskoj građi svrstava u zahtjeve za ponovnom uporabom informacija u njihovom posjedu.</w:t>
      </w:r>
    </w:p>
    <w:p w14:paraId="6515FC2F" w14:textId="77777777" w:rsidR="005924FB" w:rsidRPr="002E5315" w:rsidRDefault="005924FB" w:rsidP="00FA0B04">
      <w:r w:rsidRPr="002E5315">
        <w:t>Budući da se radi o primjeni zakonskih odredbi o pravu na pristup i ponovnu uporabu informacija, Povjerenik je zatražio izvješće od Ministarstva kulture i NSK.</w:t>
      </w:r>
    </w:p>
    <w:p w14:paraId="17789016" w14:textId="77777777" w:rsidR="005924FB" w:rsidRPr="002E5315" w:rsidRDefault="005924FB" w:rsidP="00FA0B04">
      <w:r w:rsidRPr="002E5315">
        <w:t>Služba za digitalizaciju kulturne baštine Ministarstva kulture izvijestila je da je u 2019. odobreno 45 programa u iznosu od 655.743,75 kn, a isplaćeno 645.743,28 kn, pri čemu je naglasak stavljen na održivost projekta kao jednom od kriterija pri vrednovanju projekata digitalizacije. Broj programa digitalizacije arhivske, knjižnične i muzejske građe porastao je s 43 u 2018., na 45 u 2019. Najviše programa prijavile su ustanove iz muzejske (14) i knjižnične djelatnosti (12), a slijede ostale djelatnosti (3), arhivske (2), glazbene i glazbeno-scenske (2), „nepoznate“ (2), vizualne umjetnosti (2), kazališne djelatnosti, suvremenog plesa i pokreta (1), književno-nakladničke djelatnosti (1) te zaštite kulturne baštine (1). Što se tiče kategorizacije po podprogramskim djelatnostima, podržani su sljedeći programi: Dostupnost građe (20), Zaštita građe (18), Razvoj novih usluga i proizvoda (4) te Predstavljanje i promidžba (3).</w:t>
      </w:r>
    </w:p>
    <w:p w14:paraId="073C5CE2" w14:textId="77777777" w:rsidR="005924FB" w:rsidRPr="002E5315" w:rsidRDefault="005924FB" w:rsidP="00FA0B04">
      <w:r w:rsidRPr="002E5315">
        <w:t xml:space="preserve">NSK je izvijestila da su u segmentu knjižničnih podataka tijekom 2019. nastavljena znanstvena istraživanja u području primjene BIBFRAME formata te je nastavljen rad na razvoju programa Dijeljenih usluga NSK, među kojima su novi Podatkovni centar NSK te portal otvorenih povezanih podataka </w:t>
      </w:r>
      <w:hyperlink r:id="rId39" w:history="1">
        <w:r w:rsidRPr="002E5315">
          <w:rPr>
            <w:rStyle w:val="Hiperveza"/>
            <w:rFonts w:cs="Segoe UI"/>
            <w:szCs w:val="23"/>
          </w:rPr>
          <w:t>http://data.nsk.hr</w:t>
        </w:r>
      </w:hyperlink>
      <w:r w:rsidRPr="002E5315">
        <w:t>.</w:t>
      </w:r>
    </w:p>
    <w:p w14:paraId="31C4091E" w14:textId="77777777" w:rsidR="005924FB" w:rsidRPr="002E5315" w:rsidRDefault="005924FB" w:rsidP="00FA0B04">
      <w:r w:rsidRPr="002E5315">
        <w:t xml:space="preserve">Dijeljene usluge NSK-a temelje se na podacima njihovog Integriranog knjižničnog sustava te visokoškolskih i znanstvenih knjižnica u RH, a svrha Dijeljenih usluga je razvoj nacionalne knjižnične e-infrastrukture, koja korisnicima i knjižnicama osigurava pronalaženje visokokvalitetnih izvora informacija, ponovnu uporabu javno dostupnih knjižničnih podataka te razvoj novog znanja temeljenog na pametnim uslugama i semantičkom webu. U okviru Dijeljenih usluga NSK korisnicima su dostupni sljedeći programi: </w:t>
      </w:r>
    </w:p>
    <w:p w14:paraId="489E9485" w14:textId="77777777" w:rsidR="005924FB" w:rsidRPr="002E5315" w:rsidRDefault="005924FB" w:rsidP="000114BF">
      <w:pPr>
        <w:pStyle w:val="Odlomakpopisa"/>
        <w:numPr>
          <w:ilvl w:val="0"/>
          <w:numId w:val="20"/>
        </w:numPr>
        <w:rPr>
          <w:rFonts w:ascii="Gill Sans MT" w:hAnsi="Gill Sans MT" w:cs="Segoe UI"/>
          <w:sz w:val="23"/>
          <w:szCs w:val="23"/>
        </w:rPr>
      </w:pPr>
      <w:r w:rsidRPr="002E5315">
        <w:rPr>
          <w:rFonts w:ascii="Gill Sans MT" w:hAnsi="Gill Sans MT" w:cs="Segoe UI"/>
          <w:i/>
          <w:sz w:val="23"/>
          <w:szCs w:val="23"/>
        </w:rPr>
        <w:t>Podatkovni centar NSK</w:t>
      </w:r>
      <w:r w:rsidRPr="002E5315">
        <w:rPr>
          <w:rFonts w:ascii="Gill Sans MT" w:hAnsi="Gill Sans MT" w:cs="Segoe UI"/>
          <w:sz w:val="23"/>
          <w:szCs w:val="23"/>
        </w:rPr>
        <w:t xml:space="preserve"> - pruža informacije o mogućnostima korištenja besplatnog pristupa knjižničnim podatcima NSK u otvorenom pristupu; temelji se na načelima univerzalne dostupnosti informacija te ponovne uporabe podataka; podaci su dostupni CC BY-NC-SA 4.0 licencom i slobodni su za ponovnu uporabu, a osim omogućavanja izravnog pristupa otvorenim podatcima NSK, Podatkovni centar omogućuje zaprimanje korisničkih zahtjeva za dobavu ili pristup podatcima za ponovnu uporabu putem u tu svrhu izrađenog obrasca</w:t>
      </w:r>
    </w:p>
    <w:p w14:paraId="06B49D3E" w14:textId="77777777" w:rsidR="005924FB" w:rsidRPr="002E5315" w:rsidRDefault="005924FB" w:rsidP="000114BF">
      <w:pPr>
        <w:pStyle w:val="Odlomakpopisa"/>
        <w:numPr>
          <w:ilvl w:val="0"/>
          <w:numId w:val="20"/>
        </w:numPr>
        <w:contextualSpacing/>
        <w:rPr>
          <w:rFonts w:ascii="Gill Sans MT" w:hAnsi="Gill Sans MT"/>
          <w:bCs/>
          <w:sz w:val="23"/>
          <w:szCs w:val="23"/>
        </w:rPr>
      </w:pPr>
      <w:r w:rsidRPr="002E5315">
        <w:rPr>
          <w:rFonts w:ascii="Gill Sans MT" w:hAnsi="Gill Sans MT"/>
          <w:bCs/>
          <w:i/>
          <w:sz w:val="23"/>
          <w:szCs w:val="23"/>
        </w:rPr>
        <w:t xml:space="preserve">Portal otvorenih povezanih podataka NSK </w:t>
      </w:r>
      <w:r w:rsidRPr="002E5315">
        <w:rPr>
          <w:rFonts w:ascii="Gill Sans MT" w:hAnsi="Gill Sans MT"/>
          <w:bCs/>
          <w:sz w:val="23"/>
          <w:szCs w:val="23"/>
        </w:rPr>
        <w:t xml:space="preserve">- </w:t>
      </w:r>
      <w:r w:rsidRPr="002E5315">
        <w:rPr>
          <w:rFonts w:ascii="Gill Sans MT" w:hAnsi="Gill Sans MT"/>
          <w:sz w:val="23"/>
          <w:szCs w:val="23"/>
        </w:rPr>
        <w:t>objavljuje zbirke otvorenih podataka u strojno čitljivom formatu; svi podaci dostupni su pod CC licencom i slobodni su za ponovnu uporabu</w:t>
      </w:r>
    </w:p>
    <w:p w14:paraId="5A010EB7" w14:textId="77777777" w:rsidR="005924FB" w:rsidRPr="002E5315" w:rsidRDefault="005924FB" w:rsidP="000114BF">
      <w:pPr>
        <w:pStyle w:val="Odlomakpopisa"/>
        <w:numPr>
          <w:ilvl w:val="0"/>
          <w:numId w:val="20"/>
        </w:numPr>
        <w:contextualSpacing/>
        <w:rPr>
          <w:rFonts w:ascii="Gill Sans MT" w:hAnsi="Gill Sans MT"/>
          <w:sz w:val="23"/>
          <w:szCs w:val="23"/>
        </w:rPr>
      </w:pPr>
      <w:r w:rsidRPr="002E5315">
        <w:rPr>
          <w:rFonts w:ascii="Gill Sans MT" w:hAnsi="Gill Sans MT"/>
          <w:bCs/>
          <w:i/>
          <w:sz w:val="23"/>
          <w:szCs w:val="23"/>
        </w:rPr>
        <w:t>Hrvatski nacionalni skupni katalog</w:t>
      </w:r>
      <w:r w:rsidRPr="002E5315">
        <w:rPr>
          <w:rFonts w:ascii="Gill Sans MT" w:hAnsi="Gill Sans MT"/>
          <w:bCs/>
          <w:sz w:val="23"/>
          <w:szCs w:val="23"/>
        </w:rPr>
        <w:t xml:space="preserve"> - </w:t>
      </w:r>
      <w:r w:rsidRPr="002E5315">
        <w:rPr>
          <w:rFonts w:ascii="Gill Sans MT" w:hAnsi="Gill Sans MT"/>
          <w:sz w:val="23"/>
          <w:szCs w:val="23"/>
        </w:rPr>
        <w:t>omogućuje objedinjeno pretraživanje više od 45 visokoškolskih i znanstvenih knjižnica te sadrži više od 1.500.000 bibliografskih zapisa te podataka o posjedovanju</w:t>
      </w:r>
    </w:p>
    <w:p w14:paraId="759E6F59" w14:textId="77777777" w:rsidR="005924FB" w:rsidRPr="002E5315" w:rsidRDefault="005924FB" w:rsidP="000114BF">
      <w:pPr>
        <w:pStyle w:val="Odlomakpopisa"/>
        <w:numPr>
          <w:ilvl w:val="0"/>
          <w:numId w:val="20"/>
        </w:numPr>
        <w:contextualSpacing/>
        <w:rPr>
          <w:rFonts w:ascii="Gill Sans MT" w:hAnsi="Gill Sans MT"/>
          <w:sz w:val="23"/>
          <w:szCs w:val="23"/>
        </w:rPr>
      </w:pPr>
      <w:r w:rsidRPr="002E5315">
        <w:rPr>
          <w:rFonts w:ascii="Gill Sans MT" w:hAnsi="Gill Sans MT"/>
          <w:bCs/>
          <w:i/>
          <w:sz w:val="23"/>
          <w:szCs w:val="23"/>
        </w:rPr>
        <w:t>Skupni katalog Sveučilišta u Zagrebu</w:t>
      </w:r>
      <w:r w:rsidRPr="002E5315">
        <w:rPr>
          <w:rFonts w:ascii="Gill Sans MT" w:hAnsi="Gill Sans MT"/>
          <w:bCs/>
          <w:sz w:val="23"/>
          <w:szCs w:val="23"/>
        </w:rPr>
        <w:t xml:space="preserve"> </w:t>
      </w:r>
      <w:r w:rsidRPr="002E5315">
        <w:rPr>
          <w:rFonts w:ascii="Gill Sans MT" w:hAnsi="Gill Sans MT"/>
          <w:sz w:val="23"/>
          <w:szCs w:val="23"/>
        </w:rPr>
        <w:t>- sadrži objedinjeno te pojedinačno pretraživanje više od 30 knjižničnih kataloga</w:t>
      </w:r>
    </w:p>
    <w:p w14:paraId="5A22A69C" w14:textId="77777777" w:rsidR="005924FB" w:rsidRPr="002E5315" w:rsidRDefault="005924FB" w:rsidP="000114BF">
      <w:pPr>
        <w:pStyle w:val="Odlomakpopisa"/>
        <w:numPr>
          <w:ilvl w:val="0"/>
          <w:numId w:val="20"/>
        </w:numPr>
        <w:contextualSpacing/>
        <w:rPr>
          <w:rFonts w:ascii="Gill Sans MT" w:hAnsi="Gill Sans MT"/>
          <w:sz w:val="23"/>
          <w:szCs w:val="23"/>
        </w:rPr>
      </w:pPr>
      <w:r w:rsidRPr="002E5315">
        <w:rPr>
          <w:rFonts w:ascii="Gill Sans MT" w:hAnsi="Gill Sans MT"/>
          <w:bCs/>
          <w:i/>
          <w:sz w:val="23"/>
          <w:szCs w:val="23"/>
        </w:rPr>
        <w:t>Katalog NSK</w:t>
      </w:r>
      <w:r w:rsidRPr="002E5315">
        <w:rPr>
          <w:rFonts w:ascii="Gill Sans MT" w:hAnsi="Gill Sans MT"/>
          <w:bCs/>
          <w:sz w:val="23"/>
          <w:szCs w:val="23"/>
        </w:rPr>
        <w:t xml:space="preserve"> </w:t>
      </w:r>
      <w:r w:rsidRPr="002E5315">
        <w:rPr>
          <w:rFonts w:ascii="Gill Sans MT" w:hAnsi="Gill Sans MT"/>
          <w:sz w:val="23"/>
          <w:szCs w:val="23"/>
        </w:rPr>
        <w:t>- omogućuje pretraživanje knjižničnog fonda</w:t>
      </w:r>
    </w:p>
    <w:p w14:paraId="6104AF1E" w14:textId="77777777" w:rsidR="00633D93" w:rsidRDefault="005924FB" w:rsidP="000114BF">
      <w:pPr>
        <w:pStyle w:val="Odlomakpopisa"/>
        <w:numPr>
          <w:ilvl w:val="0"/>
          <w:numId w:val="20"/>
        </w:numPr>
        <w:contextualSpacing/>
        <w:rPr>
          <w:rFonts w:ascii="Gill Sans MT" w:hAnsi="Gill Sans MT"/>
          <w:sz w:val="23"/>
          <w:szCs w:val="23"/>
        </w:rPr>
      </w:pPr>
      <w:r w:rsidRPr="002E5315">
        <w:rPr>
          <w:rFonts w:ascii="Gill Sans MT" w:hAnsi="Gill Sans MT"/>
          <w:bCs/>
          <w:i/>
          <w:sz w:val="23"/>
          <w:szCs w:val="23"/>
        </w:rPr>
        <w:lastRenderedPageBreak/>
        <w:t>Hrvatske nacionalne bibliografije</w:t>
      </w:r>
      <w:r w:rsidRPr="002E5315">
        <w:rPr>
          <w:rFonts w:ascii="Gill Sans MT" w:hAnsi="Gill Sans MT"/>
          <w:bCs/>
          <w:sz w:val="23"/>
          <w:szCs w:val="23"/>
        </w:rPr>
        <w:t xml:space="preserve"> </w:t>
      </w:r>
      <w:r w:rsidRPr="002E5315">
        <w:rPr>
          <w:rFonts w:ascii="Gill Sans MT" w:hAnsi="Gill Sans MT"/>
          <w:sz w:val="23"/>
          <w:szCs w:val="23"/>
        </w:rPr>
        <w:t>- okupljaju sustavno prikupljane i obrađene informacije o nacionalnoj nakladničkoj produkciji te omogućuju pristup nacionalnoj zbirci Croatica</w:t>
      </w:r>
      <w:r w:rsidR="00633D93">
        <w:rPr>
          <w:rFonts w:ascii="Gill Sans MT" w:hAnsi="Gill Sans MT"/>
          <w:sz w:val="23"/>
          <w:szCs w:val="23"/>
        </w:rPr>
        <w:t>.</w:t>
      </w:r>
    </w:p>
    <w:p w14:paraId="73DFA285" w14:textId="206F1851" w:rsidR="0085052B" w:rsidRPr="002E5315" w:rsidRDefault="005924FB" w:rsidP="005924FB">
      <w:pPr>
        <w:pStyle w:val="Default"/>
        <w:spacing w:after="120"/>
        <w:jc w:val="both"/>
        <w:rPr>
          <w:rFonts w:ascii="Gill Sans MT" w:hAnsi="Gill Sans MT"/>
          <w:sz w:val="23"/>
          <w:szCs w:val="23"/>
        </w:rPr>
      </w:pPr>
      <w:r w:rsidRPr="002E5315">
        <w:rPr>
          <w:rFonts w:ascii="Gill Sans MT" w:hAnsi="Gill Sans MT"/>
          <w:sz w:val="23"/>
          <w:szCs w:val="23"/>
        </w:rPr>
        <w:t>Ujedno su izvijestili da je u 2019. digitalizirano 1.413 jedinica građe te izrađeno 92.543 digitalnih snimaka, kao i da je ukupno objavljeno 30.451 zapisa metapodataka digitalne građe</w:t>
      </w:r>
      <w:r w:rsidR="0085052B" w:rsidRPr="002E5315">
        <w:rPr>
          <w:rFonts w:ascii="Gill Sans MT" w:hAnsi="Gill Sans MT"/>
          <w:sz w:val="23"/>
          <w:szCs w:val="23"/>
        </w:rPr>
        <w:t>.</w:t>
      </w:r>
    </w:p>
    <w:p w14:paraId="656AB08A" w14:textId="79A170C1" w:rsidR="0085052B" w:rsidRPr="002E5315" w:rsidRDefault="0085052B" w:rsidP="00F86207">
      <w:pPr>
        <w:pStyle w:val="Naslov1"/>
      </w:pPr>
      <w:bookmarkStart w:id="96" w:name="_Toc4677878"/>
      <w:bookmarkStart w:id="97" w:name="_Toc36308989"/>
      <w:r w:rsidRPr="002E5315">
        <w:t xml:space="preserve">Promicanje </w:t>
      </w:r>
      <w:r w:rsidR="00CC2A41" w:rsidRPr="002E5315">
        <w:t xml:space="preserve">prava na </w:t>
      </w:r>
      <w:r w:rsidRPr="002E5315">
        <w:t>pristup informacijama</w:t>
      </w:r>
      <w:bookmarkEnd w:id="96"/>
      <w:bookmarkEnd w:id="97"/>
    </w:p>
    <w:p w14:paraId="49039172" w14:textId="2D6FE92D" w:rsidR="0085052B" w:rsidRPr="002E5315" w:rsidRDefault="005924FB" w:rsidP="00FA0B04">
      <w:pPr>
        <w:rPr>
          <w:rFonts w:eastAsia="Malgun Gothic"/>
          <w:b/>
          <w:bCs/>
          <w:lang w:eastAsia="ko-KR"/>
        </w:rPr>
      </w:pPr>
      <w:bookmarkStart w:id="98" w:name="_Toc4677879"/>
      <w:r w:rsidRPr="002E5315">
        <w:rPr>
          <w:rFonts w:eastAsia="Malgun Gothic"/>
          <w:lang w:eastAsia="ko-KR"/>
        </w:rPr>
        <w:t>Podizanje razine znanja i svijesti o pravu na pristup informacijama i ponovnoj uporabi informacija među službenicima za informiranje, akademskom zajednicom, udrugama, medijima, građanima, ali i čelnicima u tijelima javne vlasti trajna je zadaća Povjerenika. Tijekom 2019. Ured povjerenika za informiranje pokušao je pružiti novi koncept edukacija o pristupu informacijama i ponuditi format dostupne ekspertize koja najbolje odgovara polaznicima. Promicanje prava na pristup informacijama i ponovne uporabe informacija u posjedu tijela javne vlasti, osim putem specijaliziranih edukacija, provodilo se i putem promotivnih aktivnosti i sudjelovanja na javnim događanjima</w:t>
      </w:r>
      <w:r w:rsidR="0085052B" w:rsidRPr="002E5315">
        <w:rPr>
          <w:rFonts w:eastAsia="Malgun Gothic"/>
          <w:lang w:eastAsia="ko-KR"/>
        </w:rPr>
        <w:t>.</w:t>
      </w:r>
    </w:p>
    <w:p w14:paraId="28EFB129" w14:textId="378F16D2" w:rsidR="0085052B" w:rsidRPr="002E5315" w:rsidRDefault="0085052B" w:rsidP="00F86207">
      <w:pPr>
        <w:pStyle w:val="Naslov2"/>
        <w:rPr>
          <w:lang w:eastAsia="ko-KR"/>
        </w:rPr>
      </w:pPr>
      <w:bookmarkStart w:id="99" w:name="_Toc36308990"/>
      <w:r w:rsidRPr="002E5315">
        <w:rPr>
          <w:lang w:eastAsia="ko-KR"/>
        </w:rPr>
        <w:t>Edukacijske aktivnosti</w:t>
      </w:r>
      <w:bookmarkEnd w:id="98"/>
      <w:bookmarkEnd w:id="99"/>
    </w:p>
    <w:p w14:paraId="0042253F" w14:textId="77777777" w:rsidR="005924FB" w:rsidRPr="002E5315" w:rsidRDefault="005924FB" w:rsidP="00FA0B04">
      <w:pPr>
        <w:rPr>
          <w:rFonts w:eastAsia="Malgun Gothic"/>
          <w:lang w:eastAsia="ko-KR"/>
        </w:rPr>
      </w:pPr>
      <w:r w:rsidRPr="002E5315">
        <w:rPr>
          <w:rFonts w:eastAsia="Malgun Gothic"/>
          <w:lang w:eastAsia="ko-KR"/>
        </w:rPr>
        <w:t>Prema djelokrugu rada Povjerenik je nadležan za predlaganje mjera za stručno osposobljavanje i usavršavanje službenika za informiranje u tijelima javne vlasti i upoznavanje s njihovim obvezama u vezi s primjenom ZPPI-ja, a navedene edukacije Povjerenik provodi samostalno ili u suradnji s drugim tijelima, kao što su Ured za udruge Vlade RH, Ured za zakonodavstvo Vlade RH, Središnji državni ured za razvoj digitalnog društva, jedinice lokalne i područne (regionalne) samouprave, putem DŠJU ili samostalno.</w:t>
      </w:r>
    </w:p>
    <w:p w14:paraId="049B8149" w14:textId="1B848BAA" w:rsidR="005924FB" w:rsidRPr="002E5315" w:rsidRDefault="005924FB" w:rsidP="005924FB">
      <w:pPr>
        <w:rPr>
          <w:rFonts w:eastAsia="Malgun Gothic"/>
          <w:szCs w:val="23"/>
          <w:lang w:eastAsia="ko-KR"/>
        </w:rPr>
      </w:pPr>
      <w:r w:rsidRPr="002E5315">
        <w:rPr>
          <w:rFonts w:eastAsia="Malgun Gothic"/>
          <w:szCs w:val="23"/>
          <w:lang w:eastAsia="ko-KR"/>
        </w:rPr>
        <w:t>Prilikom planiranja edukacija uzimaju se u obzir aktivnosti praćenja primjene Zakona, tematska raznolikost, teritorijalna zastupljenost, a prije svega postupanja Povjerenika u žalbenom postupku ili pak prema predstavkama građana, kao i edukacijski ciklusi iz prethodnih godina.</w:t>
      </w:r>
    </w:p>
    <w:p w14:paraId="5CBB851E" w14:textId="46EEA989" w:rsidR="005924FB" w:rsidRPr="002E5315" w:rsidRDefault="005924FB" w:rsidP="005924FB">
      <w:pPr>
        <w:rPr>
          <w:rFonts w:eastAsia="Malgun Gothic"/>
          <w:szCs w:val="23"/>
          <w:lang w:eastAsia="ko-KR"/>
        </w:rPr>
      </w:pPr>
      <w:r w:rsidRPr="002E5315">
        <w:rPr>
          <w:rFonts w:eastAsia="Malgun Gothic"/>
          <w:szCs w:val="23"/>
          <w:lang w:eastAsia="ko-KR"/>
        </w:rPr>
        <w:t>U suradnji s Državnom školom za javnu pravu osmišljena je nova metodologija edukacija o pravu na pristup informacijama, temeljena na početnom i naprednom modulu, krojena prema potrebama korisnika za različitim razinama specijaliziranih znanja.</w:t>
      </w:r>
    </w:p>
    <w:p w14:paraId="20EEAF92" w14:textId="77777777" w:rsidR="005924FB" w:rsidRPr="002E5315" w:rsidRDefault="005924FB" w:rsidP="005924FB">
      <w:pPr>
        <w:rPr>
          <w:rFonts w:eastAsia="Malgun Gothic"/>
          <w:szCs w:val="23"/>
          <w:lang w:eastAsia="ko-KR"/>
        </w:rPr>
      </w:pPr>
      <w:r w:rsidRPr="002E5315">
        <w:rPr>
          <w:rFonts w:eastAsia="Malgun Gothic"/>
          <w:szCs w:val="23"/>
          <w:lang w:eastAsia="ko-KR"/>
        </w:rPr>
        <w:t xml:space="preserve">Tijekom 2019. provedene su edukacije kroz 3 temeljna programa - </w:t>
      </w:r>
      <w:r w:rsidRPr="002E5315">
        <w:rPr>
          <w:rFonts w:eastAsia="Malgun Gothic"/>
          <w:i/>
          <w:iCs/>
          <w:szCs w:val="23"/>
          <w:lang w:eastAsia="ko-KR"/>
        </w:rPr>
        <w:t>Pravo na pristup – osnovni modul</w:t>
      </w:r>
      <w:r w:rsidRPr="002E5315">
        <w:rPr>
          <w:rFonts w:eastAsia="Malgun Gothic"/>
          <w:szCs w:val="23"/>
          <w:lang w:eastAsia="ko-KR"/>
        </w:rPr>
        <w:t xml:space="preserve"> (3 radionice) i </w:t>
      </w:r>
      <w:r w:rsidRPr="002E5315">
        <w:rPr>
          <w:rFonts w:eastAsia="Malgun Gothic"/>
          <w:i/>
          <w:iCs/>
          <w:szCs w:val="23"/>
          <w:lang w:eastAsia="ko-KR"/>
        </w:rPr>
        <w:t>napredni modul</w:t>
      </w:r>
      <w:r w:rsidRPr="002E5315">
        <w:rPr>
          <w:rFonts w:eastAsia="Malgun Gothic"/>
          <w:szCs w:val="23"/>
          <w:lang w:eastAsia="ko-KR"/>
        </w:rPr>
        <w:t xml:space="preserve"> (3 radionice), </w:t>
      </w:r>
      <w:r w:rsidRPr="002E5315">
        <w:rPr>
          <w:rFonts w:eastAsia="Malgun Gothic"/>
          <w:i/>
          <w:iCs/>
          <w:szCs w:val="23"/>
          <w:lang w:eastAsia="ko-KR"/>
        </w:rPr>
        <w:t>Ponovna uporaba informacija i otvoreni podaci</w:t>
      </w:r>
      <w:r w:rsidRPr="002E5315">
        <w:rPr>
          <w:rFonts w:eastAsia="Malgun Gothic"/>
          <w:szCs w:val="23"/>
          <w:lang w:eastAsia="ko-KR"/>
        </w:rPr>
        <w:t xml:space="preserve"> (3 radionice) te </w:t>
      </w:r>
      <w:r w:rsidRPr="002E5315">
        <w:rPr>
          <w:rFonts w:eastAsia="Malgun Gothic"/>
          <w:i/>
          <w:iCs/>
          <w:szCs w:val="23"/>
          <w:lang w:eastAsia="ko-KR"/>
        </w:rPr>
        <w:t>Kako pripremiti i provesti učinkovito savjetovanje sa zainteresiranom javnošću u postupcima donošenja zakona, drugih propisa i akata</w:t>
      </w:r>
      <w:r w:rsidRPr="002E5315">
        <w:rPr>
          <w:rFonts w:eastAsia="Malgun Gothic"/>
          <w:szCs w:val="23"/>
          <w:lang w:eastAsia="ko-KR"/>
        </w:rPr>
        <w:t xml:space="preserve"> (3 radionice - u suradnji s Uredom za udruge Vlade RH). Čelnici tijela javne vlasti, kao i rukovodeći službenici identificirani su kao skupina koja ne sudjeluje izravno u provedbi Zakona, međutim, prema svojim ovlastima su prepoznati kao važni sugovornici kada je riječ o ostvarivanju prava na pristup informacijama i ponovnoj uporabi. S namjerom njihovog aktivnijeg uključivanja u pojedine segmente ostvarivanja prava na pristup informacija, tijekom 2019. za čelnike i rukovodeće službenike JLP(R)S održane su krojene edukacije u svibnju u Virovitici i u prosincu u Čakovcu.</w:t>
      </w:r>
    </w:p>
    <w:p w14:paraId="7FD2354C" w14:textId="4CEAD020" w:rsidR="005924FB" w:rsidRPr="002E5315" w:rsidRDefault="005924FB" w:rsidP="005924FB">
      <w:pPr>
        <w:rPr>
          <w:rFonts w:eastAsia="Malgun Gothic"/>
          <w:szCs w:val="23"/>
          <w:lang w:eastAsia="ko-KR"/>
        </w:rPr>
      </w:pPr>
      <w:r w:rsidRPr="002E5315">
        <w:rPr>
          <w:rFonts w:eastAsia="Malgun Gothic"/>
          <w:szCs w:val="23"/>
          <w:lang w:eastAsia="ko-KR"/>
        </w:rPr>
        <w:lastRenderedPageBreak/>
        <w:t>Uspostavljena je suradnja i sa drugim tijelima za koje je identificirana potreba specijaliziranih edukacija ili prema njihovom interesu. Tako je tijekom 2019. održana krojena edukacija „Pravo na pristup informacijama i njegova provedba“ za ravnatelje sustava Crvenog križa, za koordinaciju službenika za informiranje u sustavu Vlade RH edukacija na temu „Ponovna upotreba podataka i zlouporaba prava na pristup informacijama“, na poziv Antikorupcijskog povjerenstva Krapinsko-zagorske županije održana edukacija o ostvarivanju</w:t>
      </w:r>
      <w:r w:rsidR="00954DB8" w:rsidRPr="002E5315">
        <w:rPr>
          <w:rFonts w:eastAsia="Malgun Gothic"/>
          <w:szCs w:val="23"/>
          <w:lang w:eastAsia="ko-KR"/>
        </w:rPr>
        <w:t xml:space="preserve"> </w:t>
      </w:r>
      <w:r w:rsidRPr="002E5315">
        <w:rPr>
          <w:rFonts w:eastAsia="Malgun Gothic"/>
          <w:szCs w:val="23"/>
          <w:lang w:eastAsia="ko-KR"/>
        </w:rPr>
        <w:t>prava na pristup informacijama proaktivnom objavom i rješavanjem zahtjeva, a za Ured za zakonodavstvo Vlade RH edukacija o savjetovanjima s javnošću i nadzornoj ulozi Povjerenika za informiranje o ostvarivanju ovog zakonskog mehanizma.</w:t>
      </w:r>
    </w:p>
    <w:p w14:paraId="3E53ACD4" w14:textId="74B21561" w:rsidR="005924FB" w:rsidRPr="002E5315" w:rsidRDefault="005924FB" w:rsidP="005924FB">
      <w:pPr>
        <w:rPr>
          <w:rFonts w:eastAsia="Malgun Gothic"/>
          <w:szCs w:val="23"/>
          <w:lang w:eastAsia="ko-KR"/>
        </w:rPr>
      </w:pPr>
      <w:r w:rsidRPr="002E5315">
        <w:rPr>
          <w:rFonts w:eastAsia="Malgun Gothic"/>
          <w:szCs w:val="23"/>
          <w:lang w:eastAsia="ko-KR"/>
        </w:rPr>
        <w:t>Edukacije o pravu na pristup informacijama, proaktivnoj objavi i savjetovanjima s javnošću tijekom izvještajnog razdoblja provodile su se kao nastavak praćenja primjene članaka 10., 11. i 12.</w:t>
      </w:r>
      <w:r w:rsidR="00954DB8" w:rsidRPr="002E5315">
        <w:rPr>
          <w:rFonts w:eastAsia="Malgun Gothic"/>
          <w:szCs w:val="23"/>
          <w:lang w:eastAsia="ko-KR"/>
        </w:rPr>
        <w:t xml:space="preserve"> </w:t>
      </w:r>
      <w:r w:rsidR="008C7890">
        <w:rPr>
          <w:rFonts w:eastAsia="Malgun Gothic"/>
          <w:szCs w:val="23"/>
          <w:lang w:eastAsia="ko-KR"/>
        </w:rPr>
        <w:t xml:space="preserve">ZPPI-ja </w:t>
      </w:r>
      <w:r w:rsidRPr="002E5315">
        <w:rPr>
          <w:rFonts w:eastAsia="Malgun Gothic"/>
          <w:szCs w:val="23"/>
          <w:lang w:eastAsia="ko-KR"/>
        </w:rPr>
        <w:t>na lokalnoj razini, pa su neposredno nakon izrade izvješća o analitičkom praćenju, polaznici edukativnih radionica upoznati s uočenom razinom usklađenosti postupanja tijela sa Zakonom te dobili preporuke za poboljšanje stanja i standardizaciju primjene zakonskog okvira u svim ključnim segmentima.</w:t>
      </w:r>
    </w:p>
    <w:p w14:paraId="2B1A238C" w14:textId="77777777" w:rsidR="005924FB" w:rsidRPr="002E5315" w:rsidRDefault="005924FB" w:rsidP="005924FB">
      <w:pPr>
        <w:rPr>
          <w:rFonts w:eastAsia="Malgun Gothic"/>
          <w:szCs w:val="23"/>
          <w:lang w:eastAsia="ko-KR"/>
        </w:rPr>
      </w:pPr>
      <w:r w:rsidRPr="002E5315">
        <w:rPr>
          <w:rFonts w:eastAsia="Malgun Gothic"/>
          <w:szCs w:val="23"/>
          <w:lang w:eastAsia="ko-KR"/>
        </w:rPr>
        <w:t>Sve spomenute edukacije na lokalnoj razini organizirane su putem DŠJU i uz pomoć jedinica lokalne i područne (regionalne samouprave).</w:t>
      </w:r>
    </w:p>
    <w:p w14:paraId="24D2863B" w14:textId="7E1E3178" w:rsidR="005924FB" w:rsidRPr="002E5315" w:rsidRDefault="005924FB" w:rsidP="005924FB">
      <w:pPr>
        <w:rPr>
          <w:rFonts w:eastAsia="Malgun Gothic"/>
          <w:szCs w:val="23"/>
          <w:lang w:eastAsia="ko-KR"/>
        </w:rPr>
      </w:pPr>
      <w:r w:rsidRPr="002E5315">
        <w:rPr>
          <w:rFonts w:eastAsia="Malgun Gothic"/>
          <w:szCs w:val="23"/>
          <w:lang w:eastAsia="ko-KR"/>
        </w:rPr>
        <w:t>Tijekom 2019. pokrenuta je i kampanja Pravo na pristup informacijama za mlade: Želim znati, želim sudjelovati, pa je tako u svibnju u Vukovaru, na Veleučilištu Lavoslav Ružička i u</w:t>
      </w:r>
      <w:r w:rsidR="00954DB8" w:rsidRPr="002E5315">
        <w:rPr>
          <w:rFonts w:eastAsia="Malgun Gothic"/>
          <w:szCs w:val="23"/>
          <w:lang w:eastAsia="ko-KR"/>
        </w:rPr>
        <w:t xml:space="preserve"> </w:t>
      </w:r>
      <w:r w:rsidRPr="002E5315">
        <w:rPr>
          <w:rFonts w:eastAsia="Malgun Gothic"/>
          <w:szCs w:val="23"/>
          <w:lang w:eastAsia="ko-KR"/>
        </w:rPr>
        <w:t>prosincu na Pravnom fakultetu u Rijeci održana edukacija o mehanizmima koje pruža ZPPI, namijenjena onima koji se bave akademskim i istraživačkim radom, ali i onima koje zanima uključivanje u proces donošenja odluka i ponovna uporaba informacija u posjedu tijela javne vlasti.</w:t>
      </w:r>
    </w:p>
    <w:p w14:paraId="3B744D24" w14:textId="4AA90197" w:rsidR="005924FB" w:rsidRPr="002E5315" w:rsidRDefault="005924FB" w:rsidP="005924FB">
      <w:pPr>
        <w:rPr>
          <w:rFonts w:eastAsia="Malgun Gothic"/>
          <w:bCs/>
          <w:szCs w:val="23"/>
          <w:lang w:eastAsia="ko-KR"/>
        </w:rPr>
      </w:pPr>
      <w:r w:rsidRPr="002E5315">
        <w:rPr>
          <w:rFonts w:eastAsia="Malgun Gothic"/>
          <w:szCs w:val="23"/>
          <w:lang w:eastAsia="ko-KR"/>
        </w:rPr>
        <w:t xml:space="preserve">Pored navedenih edukacija, tijekom 2019. održano je ukupno 12 </w:t>
      </w:r>
      <w:r w:rsidRPr="002E5315">
        <w:rPr>
          <w:rFonts w:eastAsia="Malgun Gothic"/>
          <w:i/>
          <w:szCs w:val="23"/>
          <w:lang w:eastAsia="ko-KR"/>
        </w:rPr>
        <w:t>online</w:t>
      </w:r>
      <w:r w:rsidRPr="002E5315">
        <w:rPr>
          <w:rFonts w:eastAsia="Malgun Gothic"/>
          <w:szCs w:val="23"/>
          <w:lang w:eastAsia="ko-KR"/>
        </w:rPr>
        <w:t xml:space="preserve"> tematskih webinara, osmišljenih na način da kroz kratko vrijeme pruže sve relevantne informacije, i to 10 za službenike tijela javne vlasti i 2 za korisnike, na sljedeće teme: Podnošenje godišnjih izvješća, Postupanje sa zahtjevima, Ponovna uporaba informacija i otvoreni podaci, Poslovna, profesionalna i porezna tajna, Proaktivna objava informacija, Ograničenja pristupa - osobni podaci, Savjetovanja s javnošću, a za korisnike o tome kako efikasno ostvarivati svoje pravo na </w:t>
      </w:r>
      <w:r w:rsidR="008C7890">
        <w:rPr>
          <w:rFonts w:eastAsia="Malgun Gothic"/>
          <w:szCs w:val="23"/>
          <w:lang w:eastAsia="ko-KR"/>
        </w:rPr>
        <w:t xml:space="preserve">pristup </w:t>
      </w:r>
      <w:r w:rsidRPr="002E5315">
        <w:rPr>
          <w:rFonts w:eastAsia="Malgun Gothic"/>
          <w:szCs w:val="23"/>
          <w:lang w:eastAsia="ko-KR"/>
        </w:rPr>
        <w:t>informacij</w:t>
      </w:r>
      <w:r w:rsidR="008C7890">
        <w:rPr>
          <w:rFonts w:eastAsia="Malgun Gothic"/>
          <w:szCs w:val="23"/>
          <w:lang w:eastAsia="ko-KR"/>
        </w:rPr>
        <w:t>ama</w:t>
      </w:r>
      <w:r w:rsidRPr="002E5315">
        <w:rPr>
          <w:rFonts w:eastAsia="Malgun Gothic"/>
          <w:b/>
          <w:szCs w:val="23"/>
          <w:lang w:eastAsia="ko-KR"/>
        </w:rPr>
        <w:t xml:space="preserve">. </w:t>
      </w:r>
      <w:r w:rsidRPr="002E5315">
        <w:rPr>
          <w:rFonts w:eastAsia="Malgun Gothic"/>
          <w:bCs/>
          <w:szCs w:val="23"/>
          <w:lang w:eastAsia="ko-KR"/>
        </w:rPr>
        <w:t>Ovako koncipirane kratke edukacije polučile su značajan interes kod polaznika, jer omogućuju uštedu vremena i sredstava, posebno za polaznike izvan Zagreba.</w:t>
      </w:r>
    </w:p>
    <w:p w14:paraId="156DCC74" w14:textId="4A630C84" w:rsidR="0085052B" w:rsidRPr="002E5315" w:rsidRDefault="005924FB" w:rsidP="005924FB">
      <w:pPr>
        <w:rPr>
          <w:rFonts w:eastAsia="Malgun Gothic"/>
          <w:sz w:val="22"/>
          <w:szCs w:val="22"/>
          <w:lang w:eastAsia="ko-KR"/>
        </w:rPr>
      </w:pPr>
      <w:r w:rsidRPr="002E5315">
        <w:rPr>
          <w:rFonts w:eastAsia="Malgun Gothic"/>
          <w:szCs w:val="23"/>
          <w:lang w:eastAsia="ko-KR"/>
        </w:rPr>
        <w:t xml:space="preserve">Ukupno uzevši, </w:t>
      </w:r>
      <w:r w:rsidRPr="002E5315">
        <w:rPr>
          <w:rFonts w:eastAsia="Malgun Gothic"/>
          <w:b/>
          <w:bCs/>
          <w:szCs w:val="23"/>
          <w:lang w:eastAsia="ko-KR"/>
        </w:rPr>
        <w:t xml:space="preserve">tijekom 2019. </w:t>
      </w:r>
      <w:r w:rsidRPr="002E5315">
        <w:rPr>
          <w:rFonts w:eastAsia="Malgun Gothic"/>
          <w:b/>
          <w:szCs w:val="23"/>
          <w:lang w:eastAsia="ko-KR"/>
        </w:rPr>
        <w:t>održano je ukupno 38 edukacija</w:t>
      </w:r>
      <w:r w:rsidRPr="002E5315">
        <w:rPr>
          <w:rFonts w:eastAsia="Malgun Gothic"/>
          <w:szCs w:val="23"/>
          <w:lang w:eastAsia="ko-KR"/>
        </w:rPr>
        <w:t>, od čega su 34 bile za službenike, čelnike i rukovodeće službenike TJV, ali i službenike koji održavaju baze i internetske sadržaje te koordinatore za savjetovanja s javnošću, dok su 4 edukacije održan</w:t>
      </w:r>
      <w:r w:rsidR="00D225FA">
        <w:rPr>
          <w:rFonts w:eastAsia="Malgun Gothic"/>
          <w:szCs w:val="23"/>
          <w:lang w:eastAsia="ko-KR"/>
        </w:rPr>
        <w:t>e</w:t>
      </w:r>
      <w:r w:rsidRPr="002E5315">
        <w:rPr>
          <w:rFonts w:eastAsia="Malgun Gothic"/>
          <w:szCs w:val="23"/>
          <w:lang w:eastAsia="ko-KR"/>
        </w:rPr>
        <w:t xml:space="preserve"> za korisnike prava na pristup informacijama kako bi ih se osnažilo da svoje pravo efikasnije i slobodnije koriste. Podaci su prikazani u </w:t>
      </w:r>
      <w:r w:rsidR="0085052B" w:rsidRPr="002E5315">
        <w:rPr>
          <w:rFonts w:eastAsia="Malgun Gothic"/>
          <w:sz w:val="22"/>
          <w:szCs w:val="22"/>
          <w:lang w:eastAsia="ko-KR"/>
        </w:rPr>
        <w:t>Tablici</w:t>
      </w:r>
      <w:r w:rsidR="00F86207" w:rsidRPr="002E5315">
        <w:rPr>
          <w:rFonts w:eastAsia="Malgun Gothic"/>
          <w:sz w:val="22"/>
          <w:szCs w:val="22"/>
          <w:lang w:eastAsia="ko-KR"/>
        </w:rPr>
        <w:t xml:space="preserve"> 10.1.</w:t>
      </w:r>
    </w:p>
    <w:p w14:paraId="30493810" w14:textId="3864A83A" w:rsidR="0085052B" w:rsidRPr="002E5315" w:rsidRDefault="0085052B" w:rsidP="00FB52CC">
      <w:pPr>
        <w:spacing w:before="120"/>
        <w:rPr>
          <w:rFonts w:eastAsia="Malgun Gothic"/>
          <w:sz w:val="20"/>
          <w:szCs w:val="20"/>
          <w:lang w:eastAsia="ko-KR"/>
        </w:rPr>
      </w:pPr>
      <w:r w:rsidRPr="002E5315">
        <w:rPr>
          <w:rFonts w:eastAsia="Malgun Gothic"/>
          <w:sz w:val="20"/>
          <w:szCs w:val="20"/>
          <w:lang w:eastAsia="ko-KR"/>
        </w:rPr>
        <w:t xml:space="preserve">Tablica </w:t>
      </w:r>
      <w:r w:rsidR="00F86207" w:rsidRPr="002E5315">
        <w:rPr>
          <w:rFonts w:eastAsia="Malgun Gothic"/>
          <w:sz w:val="20"/>
          <w:szCs w:val="20"/>
          <w:lang w:eastAsia="ko-KR"/>
        </w:rPr>
        <w:t>10.1.</w:t>
      </w:r>
      <w:r w:rsidRPr="002E5315">
        <w:rPr>
          <w:rFonts w:eastAsia="Malgun Gothic"/>
          <w:sz w:val="20"/>
          <w:szCs w:val="20"/>
          <w:lang w:eastAsia="ko-KR"/>
        </w:rPr>
        <w:t xml:space="preserve"> Edukacije u 2019. i broj polaznika</w:t>
      </w:r>
    </w:p>
    <w:tbl>
      <w:tblPr>
        <w:tblStyle w:val="LightShading-Accent11"/>
        <w:tblW w:w="5000" w:type="pct"/>
        <w:jc w:val="center"/>
        <w:tblLook w:val="04A0" w:firstRow="1" w:lastRow="0" w:firstColumn="1" w:lastColumn="0" w:noHBand="0" w:noVBand="1"/>
      </w:tblPr>
      <w:tblGrid>
        <w:gridCol w:w="6004"/>
        <w:gridCol w:w="1642"/>
        <w:gridCol w:w="1642"/>
      </w:tblGrid>
      <w:tr w:rsidR="0085052B" w:rsidRPr="002E5315" w14:paraId="0BD4BC94" w14:textId="77777777" w:rsidTr="00F766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03F880F4" w14:textId="77777777" w:rsidR="0085052B" w:rsidRPr="002E5315" w:rsidRDefault="0085052B" w:rsidP="0085052B">
            <w:pPr>
              <w:rPr>
                <w:color w:val="auto"/>
                <w:sz w:val="20"/>
                <w:szCs w:val="20"/>
              </w:rPr>
            </w:pPr>
            <w:r w:rsidRPr="002E5315">
              <w:rPr>
                <w:color w:val="auto"/>
                <w:sz w:val="20"/>
                <w:szCs w:val="20"/>
              </w:rPr>
              <w:t>Ciljana skupina / partner u organizaciji edukacije</w:t>
            </w:r>
          </w:p>
        </w:tc>
        <w:tc>
          <w:tcPr>
            <w:tcW w:w="884" w:type="pct"/>
            <w:vAlign w:val="center"/>
          </w:tcPr>
          <w:p w14:paraId="6F77BA86"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Broj edukacija</w:t>
            </w:r>
          </w:p>
        </w:tc>
        <w:tc>
          <w:tcPr>
            <w:tcW w:w="884" w:type="pct"/>
            <w:vAlign w:val="center"/>
          </w:tcPr>
          <w:p w14:paraId="5F3B951F"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Broj polaznika</w:t>
            </w:r>
          </w:p>
        </w:tc>
      </w:tr>
      <w:tr w:rsidR="0085052B" w:rsidRPr="002E5315" w14:paraId="2C580A04"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7B5325F8" w14:textId="77777777" w:rsidR="0085052B" w:rsidRPr="002E5315" w:rsidRDefault="0085052B" w:rsidP="0085052B">
            <w:pPr>
              <w:rPr>
                <w:b w:val="0"/>
                <w:color w:val="auto"/>
                <w:sz w:val="20"/>
                <w:szCs w:val="20"/>
              </w:rPr>
            </w:pPr>
            <w:r w:rsidRPr="002E5315">
              <w:rPr>
                <w:b w:val="0"/>
                <w:color w:val="auto"/>
                <w:sz w:val="20"/>
                <w:szCs w:val="20"/>
              </w:rPr>
              <w:t>Tijela javne vlasti / DŠJU</w:t>
            </w:r>
          </w:p>
        </w:tc>
        <w:tc>
          <w:tcPr>
            <w:tcW w:w="884" w:type="pct"/>
            <w:shd w:val="clear" w:color="auto" w:fill="D9E2F3" w:themeFill="accent1" w:themeFillTint="33"/>
            <w:vAlign w:val="center"/>
          </w:tcPr>
          <w:p w14:paraId="3FE4A1BD"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12</w:t>
            </w:r>
          </w:p>
        </w:tc>
        <w:tc>
          <w:tcPr>
            <w:tcW w:w="884" w:type="pct"/>
            <w:shd w:val="clear" w:color="auto" w:fill="D9E2F3" w:themeFill="accent1" w:themeFillTint="33"/>
            <w:vAlign w:val="center"/>
          </w:tcPr>
          <w:p w14:paraId="411DB93C"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208</w:t>
            </w:r>
          </w:p>
        </w:tc>
      </w:tr>
      <w:tr w:rsidR="0085052B" w:rsidRPr="002E5315" w14:paraId="072EC2DC"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4884FF6A" w14:textId="2A13860D" w:rsidR="0085052B" w:rsidRPr="002E5315" w:rsidRDefault="0085052B" w:rsidP="0085052B">
            <w:pPr>
              <w:rPr>
                <w:b w:val="0"/>
                <w:color w:val="auto"/>
                <w:sz w:val="20"/>
                <w:szCs w:val="20"/>
              </w:rPr>
            </w:pPr>
            <w:r w:rsidRPr="002E5315">
              <w:rPr>
                <w:b w:val="0"/>
                <w:color w:val="auto"/>
                <w:sz w:val="20"/>
                <w:szCs w:val="20"/>
              </w:rPr>
              <w:t>Edukacije za JLPRS/ DŠJU, Virovitičko-podravska, Istarska, Koprivničko-križevačka, Vukovarsko-srijemska i</w:t>
            </w:r>
            <w:r w:rsidR="00754B2D" w:rsidRPr="002E5315">
              <w:rPr>
                <w:b w:val="0"/>
                <w:color w:val="auto"/>
                <w:sz w:val="20"/>
                <w:szCs w:val="20"/>
              </w:rPr>
              <w:t xml:space="preserve"> </w:t>
            </w:r>
            <w:r w:rsidRPr="002E5315">
              <w:rPr>
                <w:b w:val="0"/>
                <w:color w:val="auto"/>
                <w:sz w:val="20"/>
                <w:szCs w:val="20"/>
              </w:rPr>
              <w:t>Međimurska županija</w:t>
            </w:r>
          </w:p>
        </w:tc>
        <w:tc>
          <w:tcPr>
            <w:tcW w:w="884" w:type="pct"/>
            <w:vAlign w:val="center"/>
          </w:tcPr>
          <w:p w14:paraId="314755AF"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5</w:t>
            </w:r>
          </w:p>
        </w:tc>
        <w:tc>
          <w:tcPr>
            <w:tcW w:w="884" w:type="pct"/>
            <w:vAlign w:val="center"/>
          </w:tcPr>
          <w:p w14:paraId="18AEDBB1"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131</w:t>
            </w:r>
          </w:p>
        </w:tc>
      </w:tr>
      <w:tr w:rsidR="0085052B" w:rsidRPr="002E5315" w14:paraId="690BD403"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27F6362F" w14:textId="77777777" w:rsidR="0085052B" w:rsidRPr="002E5315" w:rsidRDefault="0085052B" w:rsidP="0085052B">
            <w:pPr>
              <w:rPr>
                <w:b w:val="0"/>
                <w:bCs w:val="0"/>
                <w:sz w:val="20"/>
                <w:szCs w:val="20"/>
              </w:rPr>
            </w:pPr>
            <w:r w:rsidRPr="002E5315">
              <w:rPr>
                <w:b w:val="0"/>
                <w:bCs w:val="0"/>
                <w:color w:val="auto"/>
                <w:sz w:val="20"/>
                <w:szCs w:val="20"/>
              </w:rPr>
              <w:lastRenderedPageBreak/>
              <w:t>Edukacije za čelnike i rukovodeće službenike u TJV/Virovitica, Čakovec</w:t>
            </w:r>
          </w:p>
        </w:tc>
        <w:tc>
          <w:tcPr>
            <w:tcW w:w="884" w:type="pct"/>
            <w:shd w:val="clear" w:color="auto" w:fill="D9E2F3" w:themeFill="accent1" w:themeFillTint="33"/>
            <w:vAlign w:val="center"/>
          </w:tcPr>
          <w:p w14:paraId="2B896EC2"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w:t>
            </w:r>
          </w:p>
        </w:tc>
        <w:tc>
          <w:tcPr>
            <w:tcW w:w="884" w:type="pct"/>
            <w:shd w:val="clear" w:color="auto" w:fill="D9E2F3" w:themeFill="accent1" w:themeFillTint="33"/>
            <w:vAlign w:val="center"/>
          </w:tcPr>
          <w:p w14:paraId="526ADF78"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17</w:t>
            </w:r>
          </w:p>
        </w:tc>
      </w:tr>
      <w:tr w:rsidR="0085052B" w:rsidRPr="002E5315" w14:paraId="4D63078C"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05D153A1" w14:textId="77777777" w:rsidR="0085052B" w:rsidRPr="002E5315" w:rsidRDefault="0085052B" w:rsidP="0085052B">
            <w:pPr>
              <w:rPr>
                <w:b w:val="0"/>
                <w:bCs w:val="0"/>
                <w:color w:val="auto"/>
                <w:sz w:val="20"/>
                <w:szCs w:val="20"/>
              </w:rPr>
            </w:pPr>
            <w:r w:rsidRPr="002E5315">
              <w:rPr>
                <w:b w:val="0"/>
                <w:bCs w:val="0"/>
                <w:color w:val="auto"/>
                <w:sz w:val="20"/>
                <w:szCs w:val="20"/>
              </w:rPr>
              <w:t>Godišnje savjetovanje službenika za informiranje</w:t>
            </w:r>
          </w:p>
        </w:tc>
        <w:tc>
          <w:tcPr>
            <w:tcW w:w="884" w:type="pct"/>
            <w:vAlign w:val="center"/>
          </w:tcPr>
          <w:p w14:paraId="4A82077A"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w:t>
            </w:r>
          </w:p>
        </w:tc>
        <w:tc>
          <w:tcPr>
            <w:tcW w:w="884" w:type="pct"/>
            <w:vAlign w:val="center"/>
          </w:tcPr>
          <w:p w14:paraId="7965B1CD"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170</w:t>
            </w:r>
          </w:p>
        </w:tc>
      </w:tr>
      <w:tr w:rsidR="0085052B" w:rsidRPr="002E5315" w14:paraId="0F4F53E8"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6B256C49" w14:textId="77777777" w:rsidR="0085052B" w:rsidRPr="002E5315" w:rsidRDefault="0085052B" w:rsidP="0085052B">
            <w:pPr>
              <w:rPr>
                <w:b w:val="0"/>
                <w:color w:val="auto"/>
                <w:sz w:val="20"/>
                <w:szCs w:val="20"/>
              </w:rPr>
            </w:pPr>
            <w:r w:rsidRPr="002E5315">
              <w:rPr>
                <w:b w:val="0"/>
                <w:color w:val="auto"/>
                <w:sz w:val="20"/>
                <w:szCs w:val="20"/>
              </w:rPr>
              <w:t xml:space="preserve">Crveni križ </w:t>
            </w:r>
          </w:p>
        </w:tc>
        <w:tc>
          <w:tcPr>
            <w:tcW w:w="884" w:type="pct"/>
            <w:shd w:val="clear" w:color="auto" w:fill="D9E2F3" w:themeFill="accent1" w:themeFillTint="33"/>
            <w:vAlign w:val="center"/>
          </w:tcPr>
          <w:p w14:paraId="15B811F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w:t>
            </w:r>
          </w:p>
        </w:tc>
        <w:tc>
          <w:tcPr>
            <w:tcW w:w="884" w:type="pct"/>
            <w:shd w:val="clear" w:color="auto" w:fill="D9E2F3" w:themeFill="accent1" w:themeFillTint="33"/>
            <w:vAlign w:val="center"/>
          </w:tcPr>
          <w:p w14:paraId="51965533"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120</w:t>
            </w:r>
          </w:p>
        </w:tc>
      </w:tr>
      <w:tr w:rsidR="0085052B" w:rsidRPr="002E5315" w14:paraId="041F44FD"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71529E9B" w14:textId="77777777" w:rsidR="0085052B" w:rsidRPr="002E5315" w:rsidRDefault="0085052B" w:rsidP="0085052B">
            <w:pPr>
              <w:rPr>
                <w:b w:val="0"/>
                <w:color w:val="auto"/>
                <w:sz w:val="20"/>
                <w:szCs w:val="20"/>
              </w:rPr>
            </w:pPr>
            <w:r w:rsidRPr="002E5315">
              <w:rPr>
                <w:b w:val="0"/>
                <w:color w:val="auto"/>
                <w:sz w:val="20"/>
                <w:szCs w:val="20"/>
              </w:rPr>
              <w:t>Ured za zakonodavstvo Vlade RH</w:t>
            </w:r>
          </w:p>
        </w:tc>
        <w:tc>
          <w:tcPr>
            <w:tcW w:w="884" w:type="pct"/>
            <w:vAlign w:val="center"/>
          </w:tcPr>
          <w:p w14:paraId="099B8A69"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w:t>
            </w:r>
          </w:p>
        </w:tc>
        <w:tc>
          <w:tcPr>
            <w:tcW w:w="884" w:type="pct"/>
            <w:vAlign w:val="center"/>
          </w:tcPr>
          <w:p w14:paraId="2F19996A"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15</w:t>
            </w:r>
          </w:p>
        </w:tc>
      </w:tr>
      <w:tr w:rsidR="0085052B" w:rsidRPr="002E5315" w14:paraId="0195B77A"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3EA64A58" w14:textId="77777777" w:rsidR="0085052B" w:rsidRPr="002E5315" w:rsidRDefault="0085052B" w:rsidP="0085052B">
            <w:pPr>
              <w:rPr>
                <w:b w:val="0"/>
                <w:bCs w:val="0"/>
                <w:color w:val="auto"/>
                <w:sz w:val="20"/>
                <w:szCs w:val="20"/>
              </w:rPr>
            </w:pPr>
            <w:r w:rsidRPr="002E5315">
              <w:rPr>
                <w:b w:val="0"/>
                <w:bCs w:val="0"/>
                <w:color w:val="auto"/>
                <w:sz w:val="20"/>
                <w:szCs w:val="20"/>
              </w:rPr>
              <w:t>Koordinacija službenika za informiranje Vlade RH</w:t>
            </w:r>
          </w:p>
        </w:tc>
        <w:tc>
          <w:tcPr>
            <w:tcW w:w="884" w:type="pct"/>
            <w:shd w:val="clear" w:color="auto" w:fill="D9E2F3" w:themeFill="accent1" w:themeFillTint="33"/>
            <w:vAlign w:val="center"/>
          </w:tcPr>
          <w:p w14:paraId="0C7EE0CC"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w:t>
            </w:r>
          </w:p>
        </w:tc>
        <w:tc>
          <w:tcPr>
            <w:tcW w:w="884" w:type="pct"/>
            <w:shd w:val="clear" w:color="auto" w:fill="D9E2F3" w:themeFill="accent1" w:themeFillTint="33"/>
            <w:vAlign w:val="center"/>
          </w:tcPr>
          <w:p w14:paraId="7A82A8E1"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35</w:t>
            </w:r>
          </w:p>
        </w:tc>
      </w:tr>
      <w:tr w:rsidR="0085052B" w:rsidRPr="002E5315" w14:paraId="55C1555F"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67AC80FC" w14:textId="77777777" w:rsidR="0085052B" w:rsidRPr="002E5315" w:rsidRDefault="0085052B" w:rsidP="0085052B">
            <w:pPr>
              <w:rPr>
                <w:b w:val="0"/>
                <w:color w:val="auto"/>
                <w:sz w:val="20"/>
                <w:szCs w:val="20"/>
              </w:rPr>
            </w:pPr>
            <w:r w:rsidRPr="002E5315">
              <w:rPr>
                <w:b w:val="0"/>
                <w:color w:val="auto"/>
                <w:sz w:val="20"/>
                <w:szCs w:val="20"/>
              </w:rPr>
              <w:t xml:space="preserve">Antikorupcijsko povjerenstvo Krapinsko-zagorske županije </w:t>
            </w:r>
          </w:p>
        </w:tc>
        <w:tc>
          <w:tcPr>
            <w:tcW w:w="884" w:type="pct"/>
            <w:vAlign w:val="center"/>
          </w:tcPr>
          <w:p w14:paraId="5FDD3031"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w:t>
            </w:r>
          </w:p>
        </w:tc>
        <w:tc>
          <w:tcPr>
            <w:tcW w:w="884" w:type="pct"/>
            <w:vAlign w:val="center"/>
          </w:tcPr>
          <w:p w14:paraId="438EBBA4"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18</w:t>
            </w:r>
          </w:p>
        </w:tc>
      </w:tr>
      <w:tr w:rsidR="0085052B" w:rsidRPr="002E5315" w14:paraId="4B339A50"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74F512B2" w14:textId="77777777" w:rsidR="0085052B" w:rsidRPr="002E5315" w:rsidRDefault="0085052B" w:rsidP="0085052B">
            <w:pPr>
              <w:rPr>
                <w:b w:val="0"/>
                <w:color w:val="auto"/>
                <w:sz w:val="20"/>
                <w:szCs w:val="20"/>
              </w:rPr>
            </w:pPr>
            <w:r w:rsidRPr="002E5315">
              <w:rPr>
                <w:b w:val="0"/>
                <w:color w:val="auto"/>
                <w:sz w:val="20"/>
                <w:szCs w:val="20"/>
              </w:rPr>
              <w:t>Webinari za TJV</w:t>
            </w:r>
          </w:p>
        </w:tc>
        <w:tc>
          <w:tcPr>
            <w:tcW w:w="884" w:type="pct"/>
            <w:shd w:val="clear" w:color="auto" w:fill="D9E2F3" w:themeFill="accent1" w:themeFillTint="33"/>
            <w:vAlign w:val="center"/>
          </w:tcPr>
          <w:p w14:paraId="78DB3A29"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10</w:t>
            </w:r>
          </w:p>
        </w:tc>
        <w:tc>
          <w:tcPr>
            <w:tcW w:w="884" w:type="pct"/>
            <w:shd w:val="clear" w:color="auto" w:fill="D9E2F3" w:themeFill="accent1" w:themeFillTint="33"/>
            <w:vAlign w:val="center"/>
          </w:tcPr>
          <w:p w14:paraId="0D532EB5"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202</w:t>
            </w:r>
          </w:p>
        </w:tc>
      </w:tr>
      <w:tr w:rsidR="0085052B" w:rsidRPr="002E5315" w14:paraId="75BDE4FE"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15B3D09F" w14:textId="77777777" w:rsidR="0085052B" w:rsidRPr="002E5315" w:rsidRDefault="0085052B" w:rsidP="0085052B">
            <w:pPr>
              <w:rPr>
                <w:color w:val="auto"/>
                <w:sz w:val="20"/>
                <w:szCs w:val="20"/>
              </w:rPr>
            </w:pPr>
            <w:r w:rsidRPr="002E5315">
              <w:rPr>
                <w:color w:val="auto"/>
                <w:sz w:val="20"/>
                <w:szCs w:val="20"/>
              </w:rPr>
              <w:t>Ukupno edukacija za tijela javne vlasti</w:t>
            </w:r>
          </w:p>
        </w:tc>
        <w:tc>
          <w:tcPr>
            <w:tcW w:w="884" w:type="pct"/>
            <w:vAlign w:val="center"/>
          </w:tcPr>
          <w:p w14:paraId="2E572A45"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34</w:t>
            </w:r>
          </w:p>
        </w:tc>
        <w:tc>
          <w:tcPr>
            <w:tcW w:w="884" w:type="pct"/>
            <w:vAlign w:val="center"/>
          </w:tcPr>
          <w:p w14:paraId="60FD6FFB"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910</w:t>
            </w:r>
          </w:p>
        </w:tc>
      </w:tr>
      <w:tr w:rsidR="0085052B" w:rsidRPr="002E5315" w14:paraId="1F0A5838"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1106EB4C" w14:textId="77777777" w:rsidR="0085052B" w:rsidRPr="002E5315" w:rsidRDefault="0085052B" w:rsidP="0085052B">
            <w:pPr>
              <w:rPr>
                <w:b w:val="0"/>
                <w:color w:val="auto"/>
                <w:sz w:val="20"/>
                <w:szCs w:val="20"/>
              </w:rPr>
            </w:pPr>
            <w:r w:rsidRPr="002E5315">
              <w:rPr>
                <w:b w:val="0"/>
                <w:color w:val="auto"/>
                <w:sz w:val="20"/>
                <w:szCs w:val="20"/>
              </w:rPr>
              <w:t>Kampanja Želim znati, želim sudjelovati/ Vukovar, Rijeka</w:t>
            </w:r>
          </w:p>
        </w:tc>
        <w:tc>
          <w:tcPr>
            <w:tcW w:w="884" w:type="pct"/>
            <w:shd w:val="clear" w:color="auto" w:fill="D9E2F3" w:themeFill="accent1" w:themeFillTint="33"/>
            <w:vAlign w:val="center"/>
          </w:tcPr>
          <w:p w14:paraId="517D825F"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2</w:t>
            </w:r>
          </w:p>
        </w:tc>
        <w:tc>
          <w:tcPr>
            <w:tcW w:w="884" w:type="pct"/>
            <w:shd w:val="clear" w:color="auto" w:fill="D9E2F3" w:themeFill="accent1" w:themeFillTint="33"/>
            <w:vAlign w:val="center"/>
          </w:tcPr>
          <w:p w14:paraId="56FF6674"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97</w:t>
            </w:r>
          </w:p>
        </w:tc>
      </w:tr>
      <w:tr w:rsidR="0085052B" w:rsidRPr="002E5315" w14:paraId="4BC16998"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6AE71B48" w14:textId="77777777" w:rsidR="0085052B" w:rsidRPr="002E5315" w:rsidRDefault="0085052B" w:rsidP="0085052B">
            <w:pPr>
              <w:rPr>
                <w:b w:val="0"/>
                <w:color w:val="auto"/>
                <w:sz w:val="20"/>
                <w:szCs w:val="20"/>
              </w:rPr>
            </w:pPr>
            <w:r w:rsidRPr="002E5315">
              <w:rPr>
                <w:b w:val="0"/>
                <w:color w:val="auto"/>
                <w:sz w:val="20"/>
                <w:szCs w:val="20"/>
              </w:rPr>
              <w:t>Webinari za korisnike</w:t>
            </w:r>
          </w:p>
        </w:tc>
        <w:tc>
          <w:tcPr>
            <w:tcW w:w="884" w:type="pct"/>
            <w:vAlign w:val="center"/>
          </w:tcPr>
          <w:p w14:paraId="3F0E892D"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2</w:t>
            </w:r>
          </w:p>
        </w:tc>
        <w:tc>
          <w:tcPr>
            <w:tcW w:w="884" w:type="pct"/>
            <w:vAlign w:val="center"/>
          </w:tcPr>
          <w:p w14:paraId="2BB14C1B"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18</w:t>
            </w:r>
          </w:p>
        </w:tc>
      </w:tr>
      <w:tr w:rsidR="0085052B" w:rsidRPr="002E5315" w14:paraId="1C8AE3C7" w14:textId="77777777" w:rsidTr="00C359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2" w:type="pct"/>
            <w:shd w:val="clear" w:color="auto" w:fill="D9E2F3" w:themeFill="accent1" w:themeFillTint="33"/>
            <w:vAlign w:val="center"/>
          </w:tcPr>
          <w:p w14:paraId="55FCD87D" w14:textId="77777777" w:rsidR="0085052B" w:rsidRPr="002E5315" w:rsidRDefault="0085052B" w:rsidP="0085052B">
            <w:pPr>
              <w:rPr>
                <w:color w:val="auto"/>
                <w:sz w:val="20"/>
                <w:szCs w:val="20"/>
              </w:rPr>
            </w:pPr>
            <w:r w:rsidRPr="002E5315">
              <w:rPr>
                <w:color w:val="auto"/>
                <w:sz w:val="20"/>
                <w:szCs w:val="20"/>
              </w:rPr>
              <w:t>Ukupno edukacija za korisnike</w:t>
            </w:r>
          </w:p>
        </w:tc>
        <w:tc>
          <w:tcPr>
            <w:tcW w:w="884" w:type="pct"/>
            <w:shd w:val="clear" w:color="auto" w:fill="D9E2F3" w:themeFill="accent1" w:themeFillTint="33"/>
            <w:vAlign w:val="center"/>
          </w:tcPr>
          <w:p w14:paraId="600A1F4E"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E5315">
              <w:rPr>
                <w:b/>
                <w:color w:val="auto"/>
                <w:sz w:val="20"/>
                <w:szCs w:val="20"/>
              </w:rPr>
              <w:t>4</w:t>
            </w:r>
          </w:p>
        </w:tc>
        <w:tc>
          <w:tcPr>
            <w:tcW w:w="884" w:type="pct"/>
            <w:shd w:val="clear" w:color="auto" w:fill="D9E2F3" w:themeFill="accent1" w:themeFillTint="33"/>
            <w:vAlign w:val="center"/>
          </w:tcPr>
          <w:p w14:paraId="7F5FE2C0"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2E5315">
              <w:rPr>
                <w:b/>
                <w:color w:val="auto"/>
                <w:sz w:val="20"/>
                <w:szCs w:val="20"/>
              </w:rPr>
              <w:t>115</w:t>
            </w:r>
          </w:p>
        </w:tc>
      </w:tr>
      <w:tr w:rsidR="0085052B" w:rsidRPr="002E5315" w14:paraId="7EF3D91F" w14:textId="77777777" w:rsidTr="00F76685">
        <w:trPr>
          <w:jc w:val="center"/>
        </w:trPr>
        <w:tc>
          <w:tcPr>
            <w:cnfStyle w:val="001000000000" w:firstRow="0" w:lastRow="0" w:firstColumn="1" w:lastColumn="0" w:oddVBand="0" w:evenVBand="0" w:oddHBand="0" w:evenHBand="0" w:firstRowFirstColumn="0" w:firstRowLastColumn="0" w:lastRowFirstColumn="0" w:lastRowLastColumn="0"/>
            <w:tcW w:w="3232" w:type="pct"/>
            <w:vAlign w:val="center"/>
          </w:tcPr>
          <w:p w14:paraId="1750FEDF" w14:textId="77777777" w:rsidR="0085052B" w:rsidRPr="002E5315" w:rsidRDefault="0085052B" w:rsidP="0085052B">
            <w:pPr>
              <w:rPr>
                <w:color w:val="auto"/>
                <w:sz w:val="20"/>
                <w:szCs w:val="20"/>
              </w:rPr>
            </w:pPr>
            <w:r w:rsidRPr="002E5315">
              <w:rPr>
                <w:color w:val="auto"/>
                <w:sz w:val="20"/>
                <w:szCs w:val="20"/>
              </w:rPr>
              <w:t>Ukupno</w:t>
            </w:r>
          </w:p>
        </w:tc>
        <w:tc>
          <w:tcPr>
            <w:tcW w:w="884" w:type="pct"/>
            <w:vAlign w:val="center"/>
          </w:tcPr>
          <w:p w14:paraId="194E5F9F"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38</w:t>
            </w:r>
          </w:p>
        </w:tc>
        <w:tc>
          <w:tcPr>
            <w:tcW w:w="884" w:type="pct"/>
            <w:vAlign w:val="center"/>
          </w:tcPr>
          <w:p w14:paraId="6EB7097C"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2E5315">
              <w:rPr>
                <w:b/>
                <w:color w:val="auto"/>
                <w:sz w:val="20"/>
                <w:szCs w:val="20"/>
              </w:rPr>
              <w:t>1025</w:t>
            </w:r>
          </w:p>
        </w:tc>
      </w:tr>
    </w:tbl>
    <w:p w14:paraId="2B0BF4D7" w14:textId="49A4C834" w:rsidR="0085052B" w:rsidRPr="002E5315" w:rsidRDefault="0085052B" w:rsidP="00F86207">
      <w:pPr>
        <w:pStyle w:val="Naslov2"/>
      </w:pPr>
      <w:bookmarkStart w:id="100" w:name="_Toc36308991"/>
      <w:r w:rsidRPr="002E5315">
        <w:t>Godišnje savjetovanje službenika za informiranje</w:t>
      </w:r>
      <w:bookmarkEnd w:id="100"/>
    </w:p>
    <w:p w14:paraId="3B88283B" w14:textId="77777777" w:rsidR="00633D93"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 xml:space="preserve">U organizaciji Povjerenika, uz potporu Hrvatske zajednice županija (HZŽ) i Šibensko-kninske županije, </w:t>
      </w:r>
      <w:r w:rsidRPr="002E5315">
        <w:rPr>
          <w:rFonts w:ascii="Gill Sans MT" w:hAnsi="Gill Sans MT"/>
          <w:b/>
          <w:bCs/>
          <w:color w:val="auto"/>
          <w:sz w:val="23"/>
          <w:szCs w:val="23"/>
        </w:rPr>
        <w:t>održano je prvo Godišnje savjetovanje službenika za informiranje</w:t>
      </w:r>
      <w:r w:rsidRPr="002E5315">
        <w:rPr>
          <w:rFonts w:ascii="Gill Sans MT" w:hAnsi="Gill Sans MT"/>
          <w:color w:val="auto"/>
          <w:sz w:val="23"/>
          <w:szCs w:val="23"/>
        </w:rPr>
        <w:t xml:space="preserve"> u Šibeniku, 15.-16. listopada 2019., na kojem se okupilo preko 170 službenika tijela javne vlasti te niz stručnjaka s područja prava na pristup informacijama i zaštite osobnih podataka</w:t>
      </w:r>
      <w:r w:rsidR="00633D93">
        <w:rPr>
          <w:rFonts w:ascii="Gill Sans MT" w:hAnsi="Gill Sans MT"/>
          <w:color w:val="auto"/>
          <w:sz w:val="23"/>
          <w:szCs w:val="23"/>
        </w:rPr>
        <w:t>.</w:t>
      </w:r>
    </w:p>
    <w:p w14:paraId="52516985" w14:textId="0BBF0DFC"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Sudionici savjetovanja imali su priliku razmijeniti iskustva i dobiti uvid u specifičnosti tema s područja prava na pristup informacijama i transparentnosti s gledišta žalbene i nadzorne funkcije Ureda povjerenika</w:t>
      </w:r>
      <w:r w:rsidR="008514A7" w:rsidRPr="002E5315">
        <w:rPr>
          <w:rFonts w:ascii="Gill Sans MT" w:hAnsi="Gill Sans MT"/>
          <w:color w:val="auto"/>
          <w:sz w:val="23"/>
          <w:szCs w:val="23"/>
        </w:rPr>
        <w:t>,</w:t>
      </w:r>
      <w:r w:rsidRPr="002E5315">
        <w:rPr>
          <w:rFonts w:ascii="Gill Sans MT" w:hAnsi="Gill Sans MT"/>
          <w:color w:val="auto"/>
          <w:sz w:val="23"/>
          <w:szCs w:val="23"/>
        </w:rPr>
        <w:t xml:space="preserve"> sudske kontrole u ovom području, analiza akademske zajednice te iskustava iz upravne prakse tijela javne vlasti.</w:t>
      </w:r>
    </w:p>
    <w:p w14:paraId="1849EAAF" w14:textId="77777777"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Tijekom savjetovanja održana su 4 specijalizirana panela – „Pravo na pristup informacijama i zaštita osobnih podataka“; „Uloga službenika za informiranje; problemi u primjeni ZPPI-a, primjeri dobre prakse i prijedlozi za poboljšanje“; „Poslovna tajna kao ograničenje prava na pristup – kada i kako?“ te panel posvećen izabranim studijama slučaja.</w:t>
      </w:r>
    </w:p>
    <w:p w14:paraId="66BD0D78" w14:textId="77777777"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Najvažnije naglaske specijaliziranih panela donosimo u nastavku.</w:t>
      </w:r>
    </w:p>
    <w:p w14:paraId="4515AAF5" w14:textId="77777777" w:rsidR="00633D93"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Pravo na zaštitu osobnih podataka i pravo na pristup informacija dva</w:t>
      </w:r>
      <w:r w:rsidR="00D225FA">
        <w:rPr>
          <w:rFonts w:ascii="Gill Sans MT" w:hAnsi="Gill Sans MT"/>
          <w:color w:val="auto"/>
          <w:sz w:val="23"/>
          <w:szCs w:val="23"/>
        </w:rPr>
        <w:t xml:space="preserve"> su</w:t>
      </w:r>
      <w:r w:rsidRPr="002E5315">
        <w:rPr>
          <w:rFonts w:ascii="Gill Sans MT" w:hAnsi="Gill Sans MT"/>
          <w:color w:val="auto"/>
          <w:sz w:val="23"/>
          <w:szCs w:val="23"/>
        </w:rPr>
        <w:t xml:space="preserve"> ustavna prava, koja su u praksi često suprotstavljena, izložili su predstavnici Agencije za zaštitu osobnih podataka (dalje: AZOP) i Ureda povjerenika. Prema podacima iz žalbenog postupka pred Povjerenikom za informiranje uočeno je kako su temeljem zakonskog ograničenja zaštite osobnih podataka, tijekom 2018. u 2/3 slučajeva tijela javne vlasti neopravdano uskratila informaciju u slučajevima u kojim su zatražene informacije sadržavale osobne podatke</w:t>
      </w:r>
      <w:r w:rsidR="00633D93">
        <w:rPr>
          <w:rFonts w:ascii="Gill Sans MT" w:hAnsi="Gill Sans MT"/>
          <w:color w:val="auto"/>
          <w:sz w:val="23"/>
          <w:szCs w:val="23"/>
        </w:rPr>
        <w:t>.</w:t>
      </w:r>
    </w:p>
    <w:p w14:paraId="7C07C6B0" w14:textId="717C354C"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Ispravnom primjenom propisa tijela javne vlasti mogu ograničiti pristup informaciji ako je informacija zaštićena zakonom kojim se uređuje područje zaštite osobnih podataka, nastavno na ispravnu provedbu testa razmjernosti i javnog interesa kojim se treba utvrditi bi li</w:t>
      </w:r>
      <w:r w:rsidR="00954DB8" w:rsidRPr="002E5315">
        <w:rPr>
          <w:rFonts w:ascii="Gill Sans MT" w:hAnsi="Gill Sans MT"/>
          <w:color w:val="auto"/>
          <w:sz w:val="23"/>
          <w:szCs w:val="23"/>
        </w:rPr>
        <w:t xml:space="preserve"> </w:t>
      </w:r>
      <w:r w:rsidRPr="002E5315">
        <w:rPr>
          <w:rFonts w:ascii="Gill Sans MT" w:hAnsi="Gill Sans MT"/>
          <w:color w:val="auto"/>
          <w:sz w:val="23"/>
          <w:szCs w:val="23"/>
        </w:rPr>
        <w:t>onemogućavanjem pristupa traženoj informaciji interes bio ozbiljno povrijeđen javni interes te</w:t>
      </w:r>
      <w:r w:rsidR="00954DB8" w:rsidRPr="002E5315">
        <w:rPr>
          <w:rFonts w:ascii="Gill Sans MT" w:hAnsi="Gill Sans MT"/>
          <w:color w:val="auto"/>
          <w:sz w:val="23"/>
          <w:szCs w:val="23"/>
        </w:rPr>
        <w:t xml:space="preserve"> </w:t>
      </w:r>
      <w:r w:rsidRPr="002E5315">
        <w:rPr>
          <w:rFonts w:ascii="Gill Sans MT" w:hAnsi="Gill Sans MT"/>
          <w:color w:val="auto"/>
          <w:sz w:val="23"/>
          <w:szCs w:val="23"/>
        </w:rPr>
        <w:lastRenderedPageBreak/>
        <w:t>prevladava li potreba zaštite prava ili javni interes. Analizirana je i sudska praksa Visokog upravnog suda Republike Hrvatske u kojem je navedeni Sud odlučivao o informacijama koje sadrže osobne podatke, a kolege iz crnogorske Agencije za zaštitu ličnih podataka i slobodan pristup informacijama prenijeli su svoja iskustva.</w:t>
      </w:r>
    </w:p>
    <w:p w14:paraId="515E4140" w14:textId="1580EFC7"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 xml:space="preserve">Zaključno je utvrđeno da ni </w:t>
      </w:r>
      <w:r w:rsidR="00D93D25">
        <w:rPr>
          <w:rFonts w:ascii="Gill Sans MT" w:hAnsi="Gill Sans MT"/>
          <w:color w:val="auto"/>
          <w:sz w:val="23"/>
          <w:szCs w:val="23"/>
        </w:rPr>
        <w:t xml:space="preserve">jedno ni </w:t>
      </w:r>
      <w:r w:rsidRPr="002E5315">
        <w:rPr>
          <w:rFonts w:ascii="Gill Sans MT" w:hAnsi="Gill Sans MT"/>
          <w:color w:val="auto"/>
          <w:sz w:val="23"/>
          <w:szCs w:val="23"/>
        </w:rPr>
        <w:t>drugo pravo nije apsolutno, već ih je potrebno razmatrati u kontekstu njihove uloge u društvu, imajući na umu i sve okolnosti te ujednačiti njihovu primjenu u skladu s načelom razmjernosti.</w:t>
      </w:r>
    </w:p>
    <w:p w14:paraId="27FA2312" w14:textId="7725EE9E"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Na panelu posvećenom ulozi službenika za informiranje te identificiranim primjerima dobre prakse, ali i problemima u primjeni Zakona te prijedlozima za poboljšanje istaknuto je pitanje odgovornosti za primjenu Zakona, odnosno podijeljenoj odgovornosti između službenika za informiranje i čelnika tijela. Iako iz postojeće pravne regulative nedvojbeno proizlazi da je čelnik tijela odgovoran za funkcioniranje TJV u cjelini, pa time i za omogućavanje pristupa informacijama, opravdano se postavlja pitanje razloga za postojeću percepciju o službeniku za informiranje kao "odgovornoj osobi" u smislu ZPPI-ja. Naglašeno je kako se ta percepcija može i mora promijeniti jačanjem statusa, uloge i značaja službenika za informiranje, i to jasnim razgraničenjem uloge (odgovornosti) službenika za informiranje i čelnika tijela i preciznim reguliranjem odnosa službenika za informiranje i ostalih zaposlenika koji trebaju pridonositi pravilnoj primjeni ZPPI-ja.</w:t>
      </w:r>
    </w:p>
    <w:p w14:paraId="422035D1" w14:textId="6B32E16F"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Nakon predstavljanja iskustava pojedinih TJV, zaključeno je da je, u postupku izmjene ZPPI-ja potrebno jačati institucionalni okvir, između ostalog i optimalizacijom uvjeta za nesmetano djelovanje službenika za informiranje, uključujući moguću posebnu radno-pravnu zaštitu, čime bi se zapravo osnažili uvjeti za njegovu</w:t>
      </w:r>
      <w:r w:rsidR="00954DB8" w:rsidRPr="002E5315">
        <w:rPr>
          <w:rFonts w:ascii="Gill Sans MT" w:hAnsi="Gill Sans MT"/>
          <w:color w:val="auto"/>
          <w:sz w:val="23"/>
          <w:szCs w:val="23"/>
        </w:rPr>
        <w:t xml:space="preserve"> </w:t>
      </w:r>
      <w:r w:rsidRPr="002E5315">
        <w:rPr>
          <w:rFonts w:ascii="Gill Sans MT" w:hAnsi="Gill Sans MT"/>
          <w:color w:val="auto"/>
          <w:sz w:val="23"/>
          <w:szCs w:val="23"/>
        </w:rPr>
        <w:t>"samostalnost".</w:t>
      </w:r>
    </w:p>
    <w:p w14:paraId="68BD6951" w14:textId="5AEB83B4" w:rsidR="00732545" w:rsidRPr="002E5315" w:rsidRDefault="00732545" w:rsidP="00732545">
      <w:pPr>
        <w:pStyle w:val="NormalDB"/>
        <w:spacing w:before="0" w:after="120" w:line="276" w:lineRule="auto"/>
        <w:ind w:firstLine="0"/>
        <w:rPr>
          <w:rFonts w:ascii="Gill Sans MT" w:hAnsi="Gill Sans MT"/>
          <w:color w:val="auto"/>
          <w:sz w:val="23"/>
          <w:szCs w:val="23"/>
        </w:rPr>
      </w:pPr>
      <w:r w:rsidRPr="002E5315">
        <w:rPr>
          <w:rFonts w:ascii="Gill Sans MT" w:hAnsi="Gill Sans MT"/>
          <w:color w:val="auto"/>
          <w:sz w:val="23"/>
          <w:szCs w:val="23"/>
        </w:rPr>
        <w:t>Na panelu posvećenom poslovnoj tajni raspravljalo se o razlozima za veliki broj nezakonitih rješenja prvostupanjskih tijela kada se radi o poslovnoj tajni kao ograničenju od pristupa informacijama. U pokušaju da se ovo pitanje raspravi, prikazan je pregled najčešćih pogrešaka u prvostupanjskim postupcima i najzanimljiviji slučajevi iz prakse Povjerenika</w:t>
      </w:r>
      <w:r w:rsidR="008514A7" w:rsidRPr="002E5315">
        <w:rPr>
          <w:rFonts w:ascii="Gill Sans MT" w:hAnsi="Gill Sans MT"/>
          <w:color w:val="auto"/>
          <w:sz w:val="23"/>
          <w:szCs w:val="23"/>
        </w:rPr>
        <w:t>,</w:t>
      </w:r>
      <w:r w:rsidRPr="002E5315">
        <w:rPr>
          <w:rFonts w:ascii="Gill Sans MT" w:hAnsi="Gill Sans MT"/>
          <w:color w:val="auto"/>
          <w:sz w:val="23"/>
          <w:szCs w:val="23"/>
        </w:rPr>
        <w:t xml:space="preserve"> kao i slučajevi koji su povodom upravnih tužbi protiv odluka Povjerenika došli pred Visoki upravni sud Republike Hrvatske. Praksa Povjerenika</w:t>
      </w:r>
      <w:r w:rsidR="00954DB8" w:rsidRPr="002E5315">
        <w:rPr>
          <w:rFonts w:ascii="Gill Sans MT" w:hAnsi="Gill Sans MT"/>
          <w:color w:val="auto"/>
          <w:sz w:val="23"/>
          <w:szCs w:val="23"/>
        </w:rPr>
        <w:t xml:space="preserve"> </w:t>
      </w:r>
      <w:r w:rsidRPr="002E5315">
        <w:rPr>
          <w:rFonts w:ascii="Gill Sans MT" w:hAnsi="Gill Sans MT"/>
          <w:color w:val="auto"/>
          <w:sz w:val="23"/>
          <w:szCs w:val="23"/>
        </w:rPr>
        <w:t>i Suda je u najvećem broju slučajeva usklađena, te je istaknuto kako bi u načelu trebale biti javno dostupne informacije o plaćama u tijelima javne vlasti, podaci o zakupu poslovnog prostora, menadžerski ugovori, troškovi konzultantskih usluga, otpremnina direktoru trgovačkog društva, izrađene studije, ugovori o suradnji, ugovori o javnoj nabavi i sl. – pogotovo ako se u tim slučajevima radi o raspolaganju javnim sredstvima.</w:t>
      </w:r>
    </w:p>
    <w:p w14:paraId="075EE9C1" w14:textId="05401EA9" w:rsidR="0085052B" w:rsidRPr="002E5315" w:rsidRDefault="00732545" w:rsidP="00732545">
      <w:pPr>
        <w:pStyle w:val="NormalDB"/>
        <w:spacing w:before="0" w:after="120" w:line="276" w:lineRule="auto"/>
        <w:ind w:firstLine="0"/>
        <w:rPr>
          <w:rFonts w:ascii="Gill Sans MT" w:hAnsi="Gill Sans MT"/>
          <w:color w:val="auto"/>
        </w:rPr>
      </w:pPr>
      <w:r w:rsidRPr="002E5315">
        <w:rPr>
          <w:rFonts w:ascii="Gill Sans MT" w:hAnsi="Gill Sans MT"/>
          <w:color w:val="auto"/>
          <w:sz w:val="23"/>
          <w:szCs w:val="23"/>
        </w:rPr>
        <w:t>Na kraju savjetovanja prezentirane su studije slučaja s fokusom na teme obrađene na panelima i na zlouporabu prava na pristup informacijama</w:t>
      </w:r>
      <w:r w:rsidR="008514A7" w:rsidRPr="002E5315">
        <w:rPr>
          <w:rFonts w:ascii="Gill Sans MT" w:hAnsi="Gill Sans MT"/>
          <w:color w:val="auto"/>
          <w:sz w:val="23"/>
          <w:szCs w:val="23"/>
        </w:rPr>
        <w:t>,</w:t>
      </w:r>
      <w:r w:rsidRPr="002E5315">
        <w:rPr>
          <w:rFonts w:ascii="Gill Sans MT" w:hAnsi="Gill Sans MT"/>
          <w:color w:val="auto"/>
          <w:sz w:val="23"/>
          <w:szCs w:val="23"/>
        </w:rPr>
        <w:t xml:space="preserve"> a s ovim problemom - zlouporabi prava u Crnoj Gori, koje predstavlja jedan od najozbiljnijih problema funkcioniranja sustava pristupa informacija, upoznali su nas predstavnici Agencije za zaštitu ličnih podataka i slobodan pristup informacijama iz Crne Gore, čiji normativni okvir ne poznaje institut zloporabe prava na pristup informacijama</w:t>
      </w:r>
      <w:r w:rsidR="0085052B" w:rsidRPr="002E5315">
        <w:rPr>
          <w:rFonts w:ascii="Gill Sans MT" w:hAnsi="Gill Sans MT"/>
          <w:color w:val="auto"/>
        </w:rPr>
        <w:t>.</w:t>
      </w:r>
    </w:p>
    <w:p w14:paraId="5F3A4988" w14:textId="71B35826" w:rsidR="0085052B" w:rsidRPr="002E5315" w:rsidRDefault="0085052B" w:rsidP="00F86207">
      <w:pPr>
        <w:pStyle w:val="Naslov2"/>
      </w:pPr>
      <w:bookmarkStart w:id="101" w:name="_Toc4677880"/>
      <w:bookmarkStart w:id="102" w:name="_Toc36308992"/>
      <w:r w:rsidRPr="002E5315">
        <w:lastRenderedPageBreak/>
        <w:t>Promotivne aktivnosti</w:t>
      </w:r>
      <w:bookmarkEnd w:id="101"/>
      <w:bookmarkEnd w:id="102"/>
    </w:p>
    <w:p w14:paraId="0B1D5A25" w14:textId="07E4E53B" w:rsidR="00732545" w:rsidRPr="002E5315" w:rsidRDefault="00732545" w:rsidP="00732545">
      <w:pPr>
        <w:rPr>
          <w:rFonts w:eastAsia="Malgun Gothic"/>
          <w:szCs w:val="23"/>
        </w:rPr>
      </w:pPr>
      <w:r w:rsidRPr="002E5315">
        <w:rPr>
          <w:rFonts w:eastAsia="Malgun Gothic"/>
          <w:szCs w:val="23"/>
        </w:rPr>
        <w:t>Povjerenik za informiranje je i u 2019. nastavio s aktivnostima usmjerenim na korisnike prava na pristup informacijama i suradnju s drugim tijelima javne vlasti, kako bi se efikasno promicala potreba transparentnog postupanja tijela javne vlasti i podizanja razine razumijevanja korištenja i primjene prava na pristup i ponovnu uporabu informacija.</w:t>
      </w:r>
    </w:p>
    <w:p w14:paraId="0017EA54" w14:textId="2D73AA74" w:rsidR="00732545" w:rsidRPr="002E5315" w:rsidRDefault="00732545" w:rsidP="00732545">
      <w:pPr>
        <w:rPr>
          <w:rFonts w:eastAsia="Malgun Gothic"/>
          <w:i/>
          <w:iCs/>
          <w:szCs w:val="23"/>
        </w:rPr>
      </w:pPr>
      <w:r w:rsidRPr="002E5315">
        <w:rPr>
          <w:rFonts w:eastAsia="Malgun Gothic"/>
          <w:szCs w:val="23"/>
        </w:rPr>
        <w:t xml:space="preserve">Okosnica promotivnih aktivnosti u izvještajnom razdoblju, osim </w:t>
      </w:r>
      <w:r w:rsidR="00D93D25">
        <w:rPr>
          <w:rFonts w:eastAsia="Malgun Gothic"/>
          <w:szCs w:val="23"/>
        </w:rPr>
        <w:t>G</w:t>
      </w:r>
      <w:r w:rsidRPr="002E5315">
        <w:rPr>
          <w:rFonts w:eastAsia="Malgun Gothic"/>
          <w:szCs w:val="23"/>
        </w:rPr>
        <w:t>odišnjeg savjetovanja službenika za informiranje, bilo je i obilježavanje Međunarodnog dana prava na pristup informacijama</w:t>
      </w:r>
      <w:r w:rsidR="00954DB8" w:rsidRPr="002E5315">
        <w:rPr>
          <w:rFonts w:eastAsia="Malgun Gothic"/>
          <w:szCs w:val="23"/>
        </w:rPr>
        <w:t xml:space="preserve"> </w:t>
      </w:r>
      <w:r w:rsidRPr="002E5315">
        <w:rPr>
          <w:rFonts w:eastAsia="Malgun Gothic"/>
          <w:szCs w:val="23"/>
        </w:rPr>
        <w:t>organizacijom okruglog stola u Hrvatskom saboru i provedba kampanje Pravo na pristup informacijama za mlade: Želim znati, želim sudjelovati (</w:t>
      </w:r>
      <w:r w:rsidRPr="002E5315">
        <w:rPr>
          <w:szCs w:val="23"/>
        </w:rPr>
        <w:t xml:space="preserve">brojčano prikazane aktivnosti u </w:t>
      </w:r>
      <w:r w:rsidR="00600469" w:rsidRPr="002E5315">
        <w:rPr>
          <w:szCs w:val="23"/>
        </w:rPr>
        <w:t>T</w:t>
      </w:r>
      <w:r w:rsidRPr="002E5315">
        <w:rPr>
          <w:szCs w:val="23"/>
        </w:rPr>
        <w:t>ablici</w:t>
      </w:r>
      <w:r w:rsidR="00600469" w:rsidRPr="002E5315">
        <w:rPr>
          <w:szCs w:val="23"/>
        </w:rPr>
        <w:t xml:space="preserve"> 10.1.)</w:t>
      </w:r>
      <w:r w:rsidRPr="002E5315">
        <w:rPr>
          <w:rFonts w:eastAsia="Malgun Gothic"/>
          <w:szCs w:val="23"/>
        </w:rPr>
        <w:t>.</w:t>
      </w:r>
    </w:p>
    <w:p w14:paraId="3085446D" w14:textId="77777777" w:rsidR="00732545" w:rsidRPr="002E5315" w:rsidRDefault="00732545" w:rsidP="00FB52CC">
      <w:pPr>
        <w:spacing w:before="240"/>
        <w:rPr>
          <w:rFonts w:eastAsia="Malgun Gothic"/>
          <w:i/>
          <w:iCs/>
          <w:szCs w:val="23"/>
        </w:rPr>
      </w:pPr>
      <w:r w:rsidRPr="002E5315">
        <w:rPr>
          <w:rFonts w:eastAsia="Malgun Gothic"/>
          <w:i/>
          <w:iCs/>
          <w:szCs w:val="23"/>
        </w:rPr>
        <w:t>Obilježavanje Međunarodnog dana prava na pristup informacijama - Okrugli stol Pristup informacijama prema Zakonu o pravu na pristup informacijama i posebnim propisima – dvojbe i rješenja</w:t>
      </w:r>
    </w:p>
    <w:p w14:paraId="68414F17" w14:textId="77777777" w:rsidR="00633D93" w:rsidRDefault="00732545" w:rsidP="00732545">
      <w:pPr>
        <w:rPr>
          <w:rFonts w:eastAsia="Malgun Gothic"/>
          <w:szCs w:val="23"/>
        </w:rPr>
      </w:pPr>
      <w:r w:rsidRPr="002E5315">
        <w:rPr>
          <w:rFonts w:eastAsia="Malgun Gothic"/>
          <w:szCs w:val="23"/>
        </w:rPr>
        <w:t>U prigodi obilježavanja Međunarodnog dana prava na pristup informacijama 27. rujna 2019., u suradnji sa Odborom za Ustav, Poslovnik i politički sustav i Odborom za informiranje, informatizaciju i medije, organiziran je okrugli stol čija je središnja tema bilo ostvarivanje prava na pristup informacijama prema Zakonu o pravu na pristup informacijama i prema posebnim propisima, uz naznačene dvojbe i moguća rješenja</w:t>
      </w:r>
      <w:r w:rsidR="00633D93">
        <w:rPr>
          <w:rFonts w:eastAsia="Malgun Gothic"/>
          <w:szCs w:val="23"/>
        </w:rPr>
        <w:t>.</w:t>
      </w:r>
    </w:p>
    <w:p w14:paraId="7E5203FB" w14:textId="6B4C46B4" w:rsidR="00732545" w:rsidRPr="002E5315" w:rsidRDefault="00732545" w:rsidP="00732545">
      <w:pPr>
        <w:rPr>
          <w:rFonts w:eastAsia="Malgun Gothic"/>
          <w:szCs w:val="23"/>
        </w:rPr>
      </w:pPr>
      <w:r w:rsidRPr="002E5315">
        <w:rPr>
          <w:rFonts w:eastAsia="Malgun Gothic"/>
          <w:szCs w:val="23"/>
        </w:rPr>
        <w:t xml:space="preserve">Tom je prilikom aktualizirano ostvarivanje prava na pristup informacijama od strane zastupnika u Hrvatskom saboru i vijećnika u predstavničkim tijelima </w:t>
      </w:r>
      <w:r w:rsidR="00D93D25">
        <w:rPr>
          <w:rFonts w:eastAsia="Malgun Gothic"/>
          <w:szCs w:val="23"/>
        </w:rPr>
        <w:t>JLP(R)S</w:t>
      </w:r>
      <w:r w:rsidRPr="002E5315">
        <w:rPr>
          <w:rFonts w:eastAsia="Malgun Gothic"/>
          <w:szCs w:val="23"/>
        </w:rPr>
        <w:t xml:space="preserve"> prikazom uočenih nepravilnosti i evaluacije postignute razine transparentnosti i pristupa informacijama sukladno Zakonu, u prvom redu vezano za postupanje prema zahtjevima za pristup informacijama, ali i vezano uz obvezu proaktivne objave informacija.</w:t>
      </w:r>
    </w:p>
    <w:p w14:paraId="6120D8F8" w14:textId="77777777" w:rsidR="00633D93" w:rsidRDefault="00732545" w:rsidP="00732545">
      <w:pPr>
        <w:rPr>
          <w:rFonts w:eastAsia="Malgun Gothic"/>
          <w:szCs w:val="23"/>
        </w:rPr>
      </w:pPr>
      <w:r w:rsidRPr="002E5315">
        <w:rPr>
          <w:rFonts w:eastAsia="Malgun Gothic"/>
          <w:szCs w:val="23"/>
        </w:rPr>
        <w:t>Posebna pozornost skupa bila je usmjerena na pristupanje informacijama tijela javne vlasti temeljem različitih pravnih osnova - posebnih zakona, poslovnika ili statuta predstavničkih tijela (Hrvatskoga sabora, županijskih skupština te gradskih i općinskih vijeća) i ZPPI-ja, koji omogućuje pristup informacijama svim fizičkim i pravnim osobama. Sudionicima okruglog stola bile su predstavljene smjernice i upute Povjerenika donesene radi pravilne i usklađene primjene Zakona</w:t>
      </w:r>
      <w:r w:rsidR="00633D93">
        <w:rPr>
          <w:rFonts w:eastAsia="Malgun Gothic"/>
          <w:szCs w:val="23"/>
        </w:rPr>
        <w:t>.</w:t>
      </w:r>
    </w:p>
    <w:p w14:paraId="65046DEB" w14:textId="2C840E2F" w:rsidR="0085052B" w:rsidRPr="002E5315" w:rsidRDefault="00732545" w:rsidP="00732545">
      <w:pPr>
        <w:rPr>
          <w:rFonts w:eastAsia="Malgun Gothic"/>
          <w:sz w:val="22"/>
          <w:szCs w:val="22"/>
        </w:rPr>
      </w:pPr>
      <w:r w:rsidRPr="002E5315">
        <w:rPr>
          <w:rFonts w:eastAsia="Malgun Gothic"/>
          <w:szCs w:val="23"/>
        </w:rPr>
        <w:t>U okviru obilježavanja 28. rujna - Međunarodnog dana prava na pristup informacijama, održana je promotivna kampanja u Nacionalnoj i sveučilišnoj knjižnici te</w:t>
      </w:r>
      <w:r w:rsidR="00954DB8" w:rsidRPr="002E5315">
        <w:rPr>
          <w:rFonts w:eastAsia="Malgun Gothic"/>
          <w:szCs w:val="23"/>
        </w:rPr>
        <w:t xml:space="preserve"> </w:t>
      </w:r>
      <w:r w:rsidRPr="002E5315">
        <w:rPr>
          <w:rFonts w:eastAsia="Malgun Gothic"/>
          <w:szCs w:val="23"/>
        </w:rPr>
        <w:t>su podijeljeni edukativni i promotivni materijali te proveden</w:t>
      </w:r>
      <w:r w:rsidR="00954DB8" w:rsidRPr="002E5315">
        <w:rPr>
          <w:rFonts w:eastAsia="Malgun Gothic"/>
          <w:szCs w:val="23"/>
        </w:rPr>
        <w:t xml:space="preserve"> </w:t>
      </w:r>
      <w:r w:rsidRPr="002E5315">
        <w:rPr>
          <w:rFonts w:eastAsia="Malgun Gothic"/>
          <w:szCs w:val="23"/>
        </w:rPr>
        <w:t xml:space="preserve">razgovor sa zainteresiranim </w:t>
      </w:r>
      <w:r w:rsidR="0085052B" w:rsidRPr="002E5315">
        <w:rPr>
          <w:rFonts w:eastAsia="Malgun Gothic"/>
          <w:sz w:val="22"/>
          <w:szCs w:val="22"/>
        </w:rPr>
        <w:t>korisnicima</w:t>
      </w:r>
      <w:r w:rsidRPr="002E5315">
        <w:rPr>
          <w:rFonts w:eastAsia="Malgun Gothic"/>
          <w:sz w:val="22"/>
          <w:szCs w:val="22"/>
        </w:rPr>
        <w:t>.</w:t>
      </w:r>
    </w:p>
    <w:p w14:paraId="75F9B2C0" w14:textId="66F58526" w:rsidR="0085052B" w:rsidRPr="002E5315" w:rsidRDefault="0085052B" w:rsidP="006C731B">
      <w:pPr>
        <w:pStyle w:val="Naslov3"/>
        <w:rPr>
          <w:rFonts w:eastAsia="Malgun Gothic"/>
        </w:rPr>
      </w:pPr>
      <w:bookmarkStart w:id="103" w:name="_Toc36308993"/>
      <w:r w:rsidRPr="002E5315">
        <w:rPr>
          <w:rFonts w:eastAsia="Malgun Gothic"/>
        </w:rPr>
        <w:t>Kampanja Pravo na pristup informacijama za mlade: Želim znati, želim sudjelovati</w:t>
      </w:r>
      <w:bookmarkEnd w:id="103"/>
      <w:r w:rsidRPr="002E5315">
        <w:rPr>
          <w:rFonts w:eastAsia="Malgun Gothic"/>
        </w:rPr>
        <w:t xml:space="preserve"> </w:t>
      </w:r>
    </w:p>
    <w:p w14:paraId="6C39A897" w14:textId="16CD9FDC" w:rsidR="00AC783D" w:rsidRPr="002E5315" w:rsidRDefault="00AC783D" w:rsidP="00AC783D">
      <w:pPr>
        <w:rPr>
          <w:rFonts w:eastAsia="Malgun Gothic"/>
          <w:szCs w:val="23"/>
        </w:rPr>
      </w:pPr>
      <w:r w:rsidRPr="002E5315">
        <w:rPr>
          <w:rFonts w:eastAsia="Malgun Gothic"/>
          <w:szCs w:val="23"/>
        </w:rPr>
        <w:t>Povjerenik je 2019. u suradnji s Veleučilištem Lavoslav Ružička i Pravnim fakultetom Sveučilišta u Rijeci pokrenuo specijalizirane radionice usmjerene prema korisnicima mlađe životne dobi, kako bi ih educirao, ali i potaknuo da koriste mogućnosti koje im pruža Zakon o pravu na pristup informacijama prije svega u njihovim akademskim naporima, prilikom obrađivanja pojedinih stručnih tema ili u fazi</w:t>
      </w:r>
      <w:r w:rsidR="00954DB8" w:rsidRPr="002E5315">
        <w:rPr>
          <w:rFonts w:eastAsia="Malgun Gothic"/>
          <w:szCs w:val="23"/>
        </w:rPr>
        <w:t xml:space="preserve"> </w:t>
      </w:r>
      <w:r w:rsidRPr="002E5315">
        <w:rPr>
          <w:rFonts w:eastAsia="Malgun Gothic"/>
          <w:szCs w:val="23"/>
        </w:rPr>
        <w:t>pripreme za izradu stručnih i diplomskih radnji.</w:t>
      </w:r>
    </w:p>
    <w:p w14:paraId="15F4F022" w14:textId="77777777" w:rsidR="00633D93" w:rsidRDefault="00AC783D" w:rsidP="00AC783D">
      <w:pPr>
        <w:rPr>
          <w:rFonts w:eastAsia="Malgun Gothic"/>
          <w:szCs w:val="23"/>
        </w:rPr>
      </w:pPr>
      <w:r w:rsidRPr="002E5315">
        <w:rPr>
          <w:rFonts w:eastAsia="Malgun Gothic"/>
          <w:szCs w:val="23"/>
        </w:rPr>
        <w:lastRenderedPageBreak/>
        <w:t>Namjera je radionica Želim znati, želim sudjelovati, ukazati mladima i na mogućnost korištenja otvorenih podataka u svrhu njihove ponovne uporabe i razvoja novih vrijednosti, kao i sudjelovanja u donošenju odluka na europskoj, nacionalnoj i lokalnoj razini te na taj način sudjelovati u konceptu savjetovanja s javnošću koji doprinosi razvoju kvalitetnijih i usklađenijih propisa, većoj pravnoj sigurnosti, smanjivanju administrativnog opterećenja i većem stupnju pristajanja uz zajednički donesene odluke</w:t>
      </w:r>
      <w:r w:rsidR="00633D93">
        <w:rPr>
          <w:rFonts w:eastAsia="Malgun Gothic"/>
          <w:szCs w:val="23"/>
        </w:rPr>
        <w:t>.</w:t>
      </w:r>
    </w:p>
    <w:p w14:paraId="4A03E700" w14:textId="44308F44" w:rsidR="0085052B" w:rsidRPr="002E5315" w:rsidRDefault="00AC783D" w:rsidP="00AC783D">
      <w:pPr>
        <w:rPr>
          <w:rFonts w:eastAsia="Malgun Gothic"/>
          <w:sz w:val="22"/>
          <w:szCs w:val="22"/>
        </w:rPr>
      </w:pPr>
      <w:r w:rsidRPr="002E5315">
        <w:rPr>
          <w:rFonts w:eastAsia="Malgun Gothic"/>
          <w:szCs w:val="23"/>
        </w:rPr>
        <w:t>Značajan interes studenata i nastavnika na ovim radionicama smjerokaz su i za daljnji razvoj aktivnosti u okviru ove kampanje, pa je u 2020. planiran nastavak njezine provedbe na fakultetima u Zagrebu, Splitu i Osijeku, te izrada edukativnog materijala</w:t>
      </w:r>
      <w:r w:rsidR="00954DB8" w:rsidRPr="002E5315">
        <w:rPr>
          <w:rFonts w:eastAsia="Malgun Gothic"/>
          <w:szCs w:val="23"/>
        </w:rPr>
        <w:t xml:space="preserve"> </w:t>
      </w:r>
      <w:r w:rsidRPr="002E5315">
        <w:rPr>
          <w:rFonts w:eastAsia="Malgun Gothic"/>
          <w:szCs w:val="23"/>
        </w:rPr>
        <w:t>o korištenju otvorenih podataka za mlade</w:t>
      </w:r>
      <w:r w:rsidR="0085052B" w:rsidRPr="002E5315">
        <w:rPr>
          <w:rFonts w:eastAsia="Malgun Gothic"/>
          <w:sz w:val="22"/>
          <w:szCs w:val="22"/>
        </w:rPr>
        <w:t>.</w:t>
      </w:r>
    </w:p>
    <w:p w14:paraId="12C1BC27" w14:textId="1CDE7E1C" w:rsidR="0085052B" w:rsidRPr="002E5315" w:rsidRDefault="0085052B" w:rsidP="006C731B">
      <w:pPr>
        <w:pStyle w:val="Naslov3"/>
        <w:rPr>
          <w:rFonts w:eastAsia="Malgun Gothic"/>
        </w:rPr>
      </w:pPr>
      <w:bookmarkStart w:id="104" w:name="_Toc36308994"/>
      <w:r w:rsidRPr="002E5315">
        <w:rPr>
          <w:rFonts w:eastAsia="Malgun Gothic"/>
        </w:rPr>
        <w:t>Ostale promotivne aktivnosti</w:t>
      </w:r>
      <w:bookmarkEnd w:id="104"/>
    </w:p>
    <w:p w14:paraId="0C2417AB" w14:textId="77777777" w:rsidR="00AC783D" w:rsidRPr="002E5315" w:rsidRDefault="00AC783D" w:rsidP="00AC783D">
      <w:pPr>
        <w:rPr>
          <w:rFonts w:eastAsia="Malgun Gothic"/>
          <w:szCs w:val="23"/>
        </w:rPr>
      </w:pPr>
      <w:r w:rsidRPr="002E5315">
        <w:rPr>
          <w:rFonts w:eastAsia="Malgun Gothic"/>
          <w:szCs w:val="23"/>
        </w:rPr>
        <w:t>U 2019. Povjerenik i Ured povjerenika aktivno su sudjelovali na 7 događanja:</w:t>
      </w:r>
    </w:p>
    <w:p w14:paraId="5FACBBB5" w14:textId="3625CAA1" w:rsidR="00AC783D" w:rsidRPr="002E5315" w:rsidRDefault="00AC783D" w:rsidP="000114BF">
      <w:pPr>
        <w:numPr>
          <w:ilvl w:val="0"/>
          <w:numId w:val="10"/>
        </w:numPr>
        <w:shd w:val="clear" w:color="auto" w:fill="FFFFFF"/>
        <w:ind w:left="851" w:hanging="357"/>
        <w:rPr>
          <w:rFonts w:cs="Calibri"/>
          <w:szCs w:val="23"/>
        </w:rPr>
      </w:pPr>
      <w:r w:rsidRPr="002E5315">
        <w:rPr>
          <w:rFonts w:cs="Calibri"/>
          <w:szCs w:val="23"/>
        </w:rPr>
        <w:t xml:space="preserve">Na </w:t>
      </w:r>
      <w:r w:rsidRPr="002E5315">
        <w:rPr>
          <w:rFonts w:cs="Calibri"/>
          <w:i/>
          <w:iCs/>
          <w:szCs w:val="23"/>
        </w:rPr>
        <w:t>2. Radionici jezičnih resursa Republike Hrvatske</w:t>
      </w:r>
      <w:r w:rsidRPr="002E5315">
        <w:rPr>
          <w:rFonts w:cs="Calibri"/>
          <w:szCs w:val="23"/>
        </w:rPr>
        <w:t xml:space="preserve"> održano je predavanje „Ponovna uporaba informacija i pravni okvir“, tijekom kojega je predstavljeno djelovanje Povjerenika i potreba prilagodbe normativnog okvira novoj </w:t>
      </w:r>
      <w:r w:rsidR="00D93D25">
        <w:rPr>
          <w:rFonts w:cs="Calibri"/>
          <w:szCs w:val="23"/>
        </w:rPr>
        <w:t>OD</w:t>
      </w:r>
      <w:r w:rsidRPr="002E5315">
        <w:rPr>
          <w:rFonts w:cs="Calibri"/>
          <w:szCs w:val="23"/>
        </w:rPr>
        <w:t xml:space="preserve"> Direktivi</w:t>
      </w:r>
    </w:p>
    <w:p w14:paraId="00A9FEA0" w14:textId="68E36E70" w:rsidR="00AC783D" w:rsidRPr="002E5315" w:rsidRDefault="00AC783D" w:rsidP="000114BF">
      <w:pPr>
        <w:numPr>
          <w:ilvl w:val="0"/>
          <w:numId w:val="10"/>
        </w:numPr>
        <w:shd w:val="clear" w:color="auto" w:fill="FFFFFF"/>
        <w:ind w:left="851" w:hanging="357"/>
        <w:rPr>
          <w:rFonts w:cs="Calibri"/>
          <w:szCs w:val="23"/>
        </w:rPr>
      </w:pPr>
      <w:r w:rsidRPr="002E5315">
        <w:rPr>
          <w:rFonts w:cs="Calibri"/>
          <w:szCs w:val="23"/>
        </w:rPr>
        <w:t xml:space="preserve">U prigodi obilježavanja </w:t>
      </w:r>
      <w:r w:rsidRPr="002E5315">
        <w:rPr>
          <w:rFonts w:cs="Calibri"/>
          <w:i/>
          <w:iCs/>
          <w:szCs w:val="23"/>
        </w:rPr>
        <w:t>Međunarodnog dana otvorenih podataka</w:t>
      </w:r>
      <w:r w:rsidR="00954DB8" w:rsidRPr="002E5315">
        <w:rPr>
          <w:rFonts w:cs="Calibri"/>
          <w:szCs w:val="23"/>
        </w:rPr>
        <w:t xml:space="preserve"> </w:t>
      </w:r>
      <w:r w:rsidRPr="002E5315">
        <w:rPr>
          <w:rFonts w:cs="Calibri"/>
          <w:szCs w:val="23"/>
        </w:rPr>
        <w:t>sudjelovalo se izlaganjem na panelu „Politika i praksa otvorenih podataka u Republici Hrvatskoj“ aktualizirani su napori identificiranja i otvaranju skupova otvorenih podataka u posjedu tijela javne vlasti u Republici Hrvatskoj</w:t>
      </w:r>
    </w:p>
    <w:p w14:paraId="1499FADF" w14:textId="7E58C4E2" w:rsidR="00AC783D" w:rsidRPr="002E5315" w:rsidRDefault="00AC783D" w:rsidP="000114BF">
      <w:pPr>
        <w:numPr>
          <w:ilvl w:val="0"/>
          <w:numId w:val="10"/>
        </w:numPr>
        <w:shd w:val="clear" w:color="auto" w:fill="FFFFFF"/>
        <w:ind w:left="851" w:hanging="357"/>
        <w:rPr>
          <w:rFonts w:cs="Calibri"/>
          <w:szCs w:val="23"/>
        </w:rPr>
      </w:pPr>
      <w:r w:rsidRPr="002E5315">
        <w:rPr>
          <w:rFonts w:cs="Calibri"/>
          <w:szCs w:val="23"/>
        </w:rPr>
        <w:t xml:space="preserve">Na </w:t>
      </w:r>
      <w:r w:rsidRPr="002E5315">
        <w:rPr>
          <w:rFonts w:cs="Calibri"/>
          <w:i/>
          <w:iCs/>
          <w:szCs w:val="23"/>
        </w:rPr>
        <w:t>Godišnjem savjetovanju Instituta za javnu upravu – Normalizacija statusa javnih službenika</w:t>
      </w:r>
      <w:r w:rsidRPr="002E5315">
        <w:rPr>
          <w:rFonts w:cs="Calibri"/>
          <w:szCs w:val="23"/>
        </w:rPr>
        <w:t xml:space="preserve"> održano je izlaganje „Zakon o pravu na pristup informacijama kao jamac transparentnosti natječajnog postupka u javnoj upravi“, tijekom kojeg je prikazana standardizacija postupanja vezano uz zakonsku obvezu proaktivne objave informacija koje nastaju u okviru natječajnog postupka</w:t>
      </w:r>
    </w:p>
    <w:p w14:paraId="723A0012" w14:textId="77777777" w:rsidR="00AC783D" w:rsidRPr="002E5315" w:rsidRDefault="00AC783D" w:rsidP="000114BF">
      <w:pPr>
        <w:numPr>
          <w:ilvl w:val="0"/>
          <w:numId w:val="10"/>
        </w:numPr>
        <w:shd w:val="clear" w:color="auto" w:fill="FFFFFF"/>
        <w:ind w:left="851" w:hanging="357"/>
        <w:rPr>
          <w:rFonts w:cs="Calibri"/>
          <w:i/>
          <w:iCs/>
          <w:szCs w:val="23"/>
        </w:rPr>
      </w:pPr>
      <w:r w:rsidRPr="002E5315">
        <w:rPr>
          <w:rFonts w:cs="Calibri"/>
          <w:szCs w:val="23"/>
        </w:rPr>
        <w:t xml:space="preserve">Na 25. savjetovanju pravnika Petar Simonetti održan je okrugli stol </w:t>
      </w:r>
      <w:r w:rsidRPr="002E5315">
        <w:rPr>
          <w:rFonts w:cs="Calibri"/>
          <w:i/>
          <w:iCs/>
          <w:szCs w:val="23"/>
        </w:rPr>
        <w:t xml:space="preserve">Ostvarivanje prava na pristup informacijama, </w:t>
      </w:r>
      <w:r w:rsidRPr="002E5315">
        <w:rPr>
          <w:rFonts w:cs="Calibri"/>
          <w:szCs w:val="23"/>
        </w:rPr>
        <w:t>na kojem se raspravljalo o dostignutim standardima transparentnog postupanja tijela javne vlasti i uočenim izazovima za daljnji razvoj instituta, uz pravnu analizu najčešće korištenih ograničenja u ostvarivanju spomenutog prava</w:t>
      </w:r>
    </w:p>
    <w:p w14:paraId="3621ADAF" w14:textId="69B53DDB" w:rsidR="00AC783D" w:rsidRPr="002E5315" w:rsidRDefault="00AC783D" w:rsidP="000114BF">
      <w:pPr>
        <w:numPr>
          <w:ilvl w:val="0"/>
          <w:numId w:val="10"/>
        </w:numPr>
        <w:shd w:val="clear" w:color="auto" w:fill="FFFFFF"/>
        <w:ind w:left="851" w:hanging="357"/>
        <w:rPr>
          <w:rFonts w:cs="Calibri"/>
          <w:szCs w:val="23"/>
        </w:rPr>
      </w:pPr>
      <w:r w:rsidRPr="002E5315">
        <w:rPr>
          <w:rFonts w:cs="Calibri"/>
          <w:color w:val="000000"/>
          <w:szCs w:val="23"/>
        </w:rPr>
        <w:t xml:space="preserve">Na </w:t>
      </w:r>
      <w:r w:rsidRPr="002E5315">
        <w:rPr>
          <w:rFonts w:cs="Calibri"/>
          <w:i/>
          <w:iCs/>
          <w:color w:val="000000"/>
          <w:szCs w:val="23"/>
        </w:rPr>
        <w:t>9. Međunarodnoj konferenciji Razvoj javne uprave</w:t>
      </w:r>
      <w:r w:rsidRPr="002E5315">
        <w:rPr>
          <w:rFonts w:cs="Calibri"/>
          <w:color w:val="000000"/>
          <w:szCs w:val="23"/>
        </w:rPr>
        <w:t xml:space="preserve"> održanoj na Veleučilištu Lavoslav Ružička održano je predavanje na panelu </w:t>
      </w:r>
      <w:r w:rsidRPr="002E5315">
        <w:rPr>
          <w:rFonts w:cs="Calibri"/>
          <w:i/>
          <w:iCs/>
          <w:color w:val="000000"/>
          <w:szCs w:val="23"/>
        </w:rPr>
        <w:t>Izazovi i perspektive javne uprave</w:t>
      </w:r>
    </w:p>
    <w:p w14:paraId="4510ED76" w14:textId="6912E1F5" w:rsidR="00AC783D" w:rsidRPr="002E5315" w:rsidRDefault="00AC783D" w:rsidP="000114BF">
      <w:pPr>
        <w:numPr>
          <w:ilvl w:val="0"/>
          <w:numId w:val="10"/>
        </w:numPr>
        <w:shd w:val="clear" w:color="auto" w:fill="FFFFFF"/>
        <w:ind w:left="851" w:hanging="357"/>
        <w:rPr>
          <w:rFonts w:cs="Calibri"/>
          <w:szCs w:val="23"/>
        </w:rPr>
      </w:pPr>
      <w:r w:rsidRPr="002E5315">
        <w:rPr>
          <w:rFonts w:cs="Calibri"/>
          <w:szCs w:val="23"/>
        </w:rPr>
        <w:t xml:space="preserve">U prigodi obilježavanja </w:t>
      </w:r>
      <w:r w:rsidRPr="002E5315">
        <w:rPr>
          <w:rFonts w:cs="Calibri"/>
          <w:i/>
          <w:iCs/>
          <w:szCs w:val="23"/>
        </w:rPr>
        <w:t>Međunarodnog dana prava na pristup informacijama</w:t>
      </w:r>
      <w:r w:rsidRPr="002E5315">
        <w:rPr>
          <w:rFonts w:cs="Calibri"/>
          <w:szCs w:val="23"/>
        </w:rPr>
        <w:t>, u okviru diskusije „Koliko građani imaju pravo znati“, u organizaciji GONG-a održano je izlaganje „Dostupnost prava na pristup informacijama za građane kroz praksu Povjerenika za informiranje“</w:t>
      </w:r>
    </w:p>
    <w:p w14:paraId="7858EE58" w14:textId="34025350" w:rsidR="00AC783D" w:rsidRPr="002E5315" w:rsidRDefault="00AC783D" w:rsidP="000114BF">
      <w:pPr>
        <w:numPr>
          <w:ilvl w:val="0"/>
          <w:numId w:val="10"/>
        </w:numPr>
        <w:shd w:val="clear" w:color="auto" w:fill="FFFFFF"/>
        <w:ind w:left="851" w:hanging="357"/>
        <w:rPr>
          <w:rFonts w:cs="Calibri"/>
          <w:szCs w:val="23"/>
        </w:rPr>
      </w:pPr>
      <w:r w:rsidRPr="002E5315">
        <w:rPr>
          <w:rFonts w:cs="Calibri"/>
          <w:szCs w:val="23"/>
        </w:rPr>
        <w:t xml:space="preserve">Na predstavljanju projekta Twinning Open Data Operational, čiji je cilj unaprjeđenje znanstvene izvrsnosti i kapaciteta za inovacije na području otvorenih podataka na </w:t>
      </w:r>
      <w:r w:rsidRPr="002E5315">
        <w:rPr>
          <w:rFonts w:cs="Calibri"/>
          <w:szCs w:val="23"/>
        </w:rPr>
        <w:lastRenderedPageBreak/>
        <w:t>Sveučilištu</w:t>
      </w:r>
      <w:r w:rsidR="00954DB8" w:rsidRPr="002E5315">
        <w:rPr>
          <w:rFonts w:cs="Calibri"/>
          <w:szCs w:val="23"/>
        </w:rPr>
        <w:t xml:space="preserve"> </w:t>
      </w:r>
      <w:r w:rsidRPr="002E5315">
        <w:rPr>
          <w:rFonts w:cs="Calibri"/>
          <w:szCs w:val="23"/>
        </w:rPr>
        <w:t>u Zagrebu, održana je prezentacija ponovnoj uporabi informacija u Republici Hrvatskoj i djelovanju Povjerenika na području ponovne uporabe i otvorenih podataka</w:t>
      </w:r>
    </w:p>
    <w:p w14:paraId="30C4C0C3" w14:textId="43A981E9" w:rsidR="00AC783D" w:rsidRPr="002E5315" w:rsidRDefault="00AC783D" w:rsidP="000114BF">
      <w:pPr>
        <w:numPr>
          <w:ilvl w:val="0"/>
          <w:numId w:val="10"/>
        </w:numPr>
        <w:shd w:val="clear" w:color="auto" w:fill="FFFFFF"/>
        <w:ind w:left="851" w:hanging="357"/>
        <w:rPr>
          <w:rFonts w:cs="Calibri"/>
          <w:szCs w:val="23"/>
        </w:rPr>
      </w:pPr>
      <w:r w:rsidRPr="002E5315">
        <w:rPr>
          <w:rFonts w:eastAsia="Malgun Gothic"/>
          <w:szCs w:val="23"/>
        </w:rPr>
        <w:t>N</w:t>
      </w:r>
      <w:r w:rsidRPr="002E5315">
        <w:rPr>
          <w:rFonts w:cs="Calibri"/>
          <w:szCs w:val="23"/>
        </w:rPr>
        <w:t xml:space="preserve">a završnom događanju udruge Zelena akcija </w:t>
      </w:r>
      <w:r w:rsidRPr="002E5315">
        <w:rPr>
          <w:rFonts w:cs="Arial"/>
          <w:szCs w:val="23"/>
        </w:rPr>
        <w:t xml:space="preserve">u sklopu projekta </w:t>
      </w:r>
      <w:r w:rsidRPr="002E5315">
        <w:rPr>
          <w:rFonts w:cs="Arial"/>
          <w:i/>
          <w:szCs w:val="23"/>
        </w:rPr>
        <w:t xml:space="preserve">"Poboljšanje pristupa informacijama o okolišu u Hrvatskoj" </w:t>
      </w:r>
      <w:r w:rsidRPr="002E5315">
        <w:rPr>
          <w:rFonts w:cs="Arial"/>
          <w:szCs w:val="23"/>
        </w:rPr>
        <w:t>koji se provodi u partnerstvu s organizacijom Independent Institute for Environmental Issues (UFU) iz Njemačke, s temom prava na pristup okolišnim informacijama.</w:t>
      </w:r>
    </w:p>
    <w:p w14:paraId="299A7D58" w14:textId="62DDCB08" w:rsidR="0085052B" w:rsidRPr="002E5315" w:rsidRDefault="0085052B" w:rsidP="006C731B">
      <w:pPr>
        <w:pStyle w:val="Naslov2"/>
        <w:rPr>
          <w:lang w:eastAsia="ko-KR"/>
        </w:rPr>
      </w:pPr>
      <w:bookmarkStart w:id="105" w:name="_Toc36308995"/>
      <w:r w:rsidRPr="002E5315">
        <w:rPr>
          <w:lang w:eastAsia="ko-KR"/>
        </w:rPr>
        <w:t>Informiranje javnosti</w:t>
      </w:r>
      <w:bookmarkEnd w:id="105"/>
    </w:p>
    <w:p w14:paraId="38D83395" w14:textId="77777777" w:rsidR="00633D93" w:rsidRDefault="001D6475" w:rsidP="001D6475">
      <w:pPr>
        <w:rPr>
          <w:rFonts w:eastAsia="Malgun Gothic"/>
          <w:szCs w:val="23"/>
          <w:lang w:eastAsia="ko-KR"/>
        </w:rPr>
      </w:pPr>
      <w:r w:rsidRPr="002E5315">
        <w:rPr>
          <w:rFonts w:eastAsia="Malgun Gothic"/>
          <w:szCs w:val="23"/>
          <w:lang w:eastAsia="ko-KR"/>
        </w:rPr>
        <w:t>Jedna od važnih zadaća Povjerenika je i podizanje razine znanja i svijesti o pravu na pristup informacijama u javnosti. U odnosu na prethodna razdoblja, zabilježen je daljnji porast broja nastupa, izjava i objavljenih članaka u medijima (Večernji list, Jutarnji list, Novi list, Euroactiv, HTV, RTL, N1, Al Jazeera, Hrvatski radio, Čakovečki radio, Hrvatski radio Vukovar</w:t>
      </w:r>
      <w:r w:rsidRPr="002E5315">
        <w:rPr>
          <w:rFonts w:eastAsia="Malgun Gothic"/>
          <w:color w:val="C00000"/>
          <w:szCs w:val="23"/>
          <w:lang w:eastAsia="ko-KR"/>
        </w:rPr>
        <w:t xml:space="preserve">, </w:t>
      </w:r>
      <w:r w:rsidRPr="002E5315">
        <w:rPr>
          <w:rFonts w:eastAsia="Malgun Gothic"/>
          <w:szCs w:val="23"/>
          <w:lang w:eastAsia="ko-KR"/>
        </w:rPr>
        <w:t>Radio Sljeme, portali hrnews.hr, Šibenski portal). D</w:t>
      </w:r>
      <w:r w:rsidR="006871B6">
        <w:rPr>
          <w:rFonts w:eastAsia="Malgun Gothic"/>
          <w:szCs w:val="23"/>
          <w:lang w:eastAsia="ko-KR"/>
        </w:rPr>
        <w:t>vadesetak</w:t>
      </w:r>
      <w:r w:rsidRPr="002E5315">
        <w:rPr>
          <w:rFonts w:eastAsia="Malgun Gothic"/>
          <w:szCs w:val="23"/>
          <w:lang w:eastAsia="ko-KR"/>
        </w:rPr>
        <w:t xml:space="preserve"> medijskih objava tematski se mogu podijeliti u blokove interesa povodom podnošenja godišnjeg izvješća o provedbi ZPPI-ja, ovlast kažnjavanja za nepostupanje prema nalogu Povjerenika, šutnju administracije, obvezama prilagodbe Zakonu o pristupačnosti, specijaliziranim edukacijama Povjerenika za informiranje i drugo</w:t>
      </w:r>
      <w:r w:rsidR="00633D93">
        <w:rPr>
          <w:rFonts w:eastAsia="Malgun Gothic"/>
          <w:szCs w:val="23"/>
          <w:lang w:eastAsia="ko-KR"/>
        </w:rPr>
        <w:t>.</w:t>
      </w:r>
    </w:p>
    <w:p w14:paraId="7BC962DE" w14:textId="77777777" w:rsidR="00633D93" w:rsidRDefault="001D6475" w:rsidP="001D6475">
      <w:pPr>
        <w:rPr>
          <w:rFonts w:eastAsia="Malgun Gothic"/>
          <w:szCs w:val="23"/>
          <w:lang w:eastAsia="ko-KR"/>
        </w:rPr>
      </w:pPr>
      <w:r w:rsidRPr="002E5315">
        <w:rPr>
          <w:rFonts w:eastAsia="Malgun Gothic"/>
          <w:szCs w:val="23"/>
          <w:lang w:eastAsia="ko-KR"/>
        </w:rPr>
        <w:t xml:space="preserve">Javnost se nastoji informirati putem kontinuirane komunikacije s medijima, objavom sadržaja na internetskoj stranici </w:t>
      </w:r>
      <w:hyperlink r:id="rId40" w:history="1">
        <w:r w:rsidRPr="002E5315">
          <w:rPr>
            <w:rFonts w:eastAsia="Malgun Gothic"/>
            <w:szCs w:val="23"/>
            <w:lang w:eastAsia="ko-KR"/>
          </w:rPr>
          <w:t>www.pristupinfo.hr</w:t>
        </w:r>
      </w:hyperlink>
      <w:r w:rsidRPr="002E5315">
        <w:rPr>
          <w:rFonts w:eastAsia="Malgun Gothic"/>
          <w:szCs w:val="23"/>
          <w:lang w:eastAsia="ko-KR"/>
        </w:rPr>
        <w:t xml:space="preserve">, a također se objavljuju i dostavljaju stručnoj javnosti </w:t>
      </w:r>
      <w:r w:rsidRPr="002E5315">
        <w:rPr>
          <w:rFonts w:eastAsia="Malgun Gothic"/>
          <w:i/>
          <w:szCs w:val="23"/>
          <w:lang w:eastAsia="ko-KR"/>
        </w:rPr>
        <w:t>newsletteri</w:t>
      </w:r>
      <w:r w:rsidRPr="002E5315">
        <w:rPr>
          <w:rFonts w:eastAsia="Malgun Gothic"/>
          <w:szCs w:val="23"/>
          <w:lang w:eastAsia="ko-KR"/>
        </w:rPr>
        <w:t xml:space="preserve"> s najnovijim vijestima na području prava na pristup informacijama</w:t>
      </w:r>
      <w:r w:rsidR="00633D93">
        <w:rPr>
          <w:rFonts w:eastAsia="Malgun Gothic"/>
          <w:szCs w:val="23"/>
          <w:lang w:eastAsia="ko-KR"/>
        </w:rPr>
        <w:t>.</w:t>
      </w:r>
    </w:p>
    <w:p w14:paraId="696F2D6D" w14:textId="593FB32B" w:rsidR="001D6475" w:rsidRPr="002E5315" w:rsidRDefault="001D6475" w:rsidP="001D6475">
      <w:pPr>
        <w:rPr>
          <w:rFonts w:eastAsia="Malgun Gothic"/>
          <w:szCs w:val="23"/>
          <w:lang w:eastAsia="ko-KR"/>
        </w:rPr>
      </w:pPr>
      <w:r w:rsidRPr="002E5315">
        <w:rPr>
          <w:rFonts w:eastAsia="Malgun Gothic"/>
          <w:szCs w:val="23"/>
          <w:lang w:eastAsia="ko-KR"/>
        </w:rPr>
        <w:t xml:space="preserve">U izvještajnom je razdoblju nastavljen rad na razvoju preglednije koncepcije internetske stranice Povjerenika za informiranje </w:t>
      </w:r>
      <w:hyperlink r:id="rId41" w:history="1">
        <w:r w:rsidRPr="002E5315">
          <w:rPr>
            <w:rStyle w:val="Hiperveza"/>
            <w:rFonts w:eastAsia="Malgun Gothic"/>
            <w:szCs w:val="23"/>
            <w:lang w:eastAsia="ko-KR"/>
          </w:rPr>
          <w:t>www.pristupinfo.hr</w:t>
        </w:r>
      </w:hyperlink>
      <w:r w:rsidRPr="002E5315">
        <w:rPr>
          <w:rFonts w:eastAsia="Malgun Gothic"/>
          <w:szCs w:val="23"/>
          <w:lang w:eastAsia="ko-KR"/>
        </w:rPr>
        <w:t>, u okviru koje su najkorištenije i najposjećenije aplikacije – Tražilica odluka i mišljenja Povjerenika za informiranje i Visokog upravnog suda - TOM,</w:t>
      </w:r>
      <w:r w:rsidR="00954DB8" w:rsidRPr="002E5315">
        <w:rPr>
          <w:rFonts w:eastAsia="Malgun Gothic"/>
          <w:szCs w:val="23"/>
          <w:lang w:eastAsia="ko-KR"/>
        </w:rPr>
        <w:t xml:space="preserve"> </w:t>
      </w:r>
      <w:r w:rsidRPr="002E5315">
        <w:rPr>
          <w:rFonts w:eastAsia="Malgun Gothic"/>
          <w:szCs w:val="23"/>
          <w:lang w:eastAsia="ko-KR"/>
        </w:rPr>
        <w:t>Popis tijela javne vlasti i aplikacija za podnošenje godišnjeg izvješća. Također je dostupna</w:t>
      </w:r>
      <w:r w:rsidR="00954DB8" w:rsidRPr="002E5315">
        <w:rPr>
          <w:rFonts w:eastAsia="Malgun Gothic"/>
          <w:szCs w:val="23"/>
          <w:lang w:eastAsia="ko-KR"/>
        </w:rPr>
        <w:t xml:space="preserve"> </w:t>
      </w:r>
      <w:r w:rsidRPr="002E5315">
        <w:rPr>
          <w:rFonts w:eastAsia="Malgun Gothic"/>
          <w:szCs w:val="23"/>
          <w:lang w:eastAsia="ko-KR"/>
        </w:rPr>
        <w:t>i baza podataka – kumulativna izvješća tijela javne vlasti o provedbi Zakona o pravu na pristup informacijama.</w:t>
      </w:r>
    </w:p>
    <w:p w14:paraId="530DFFA7" w14:textId="77777777" w:rsidR="00633D93" w:rsidRDefault="001D6475" w:rsidP="001D6475">
      <w:pPr>
        <w:rPr>
          <w:rFonts w:eastAsia="Malgun Gothic"/>
          <w:szCs w:val="23"/>
          <w:lang w:eastAsia="ko-KR"/>
        </w:rPr>
      </w:pPr>
      <w:r w:rsidRPr="002E5315">
        <w:rPr>
          <w:rFonts w:eastAsia="Malgun Gothic"/>
          <w:szCs w:val="23"/>
          <w:lang w:eastAsia="ko-KR"/>
        </w:rPr>
        <w:t xml:space="preserve">Tijekom 2019. je na internetskoj stranici Povjerenika u sklopu redovitog izvještavanja javnosti i ciljnih skupina objavljeno ukupno 59 vijesti i obavijesti, a internetska stranica bila je posjećena 65.557 puta. Stranicama je pristupalo oko 14.266 korisnika, a posjetitelji internetske stranice Povjerenika pretraživali su stranice u nešto ispod 25.209 sesija. Također se redovito komuniciralo putem specijaliziranog </w:t>
      </w:r>
      <w:r w:rsidRPr="002E5315">
        <w:rPr>
          <w:rFonts w:eastAsia="Malgun Gothic"/>
          <w:i/>
          <w:szCs w:val="23"/>
          <w:lang w:eastAsia="ko-KR"/>
        </w:rPr>
        <w:t>Newslettera</w:t>
      </w:r>
      <w:r w:rsidRPr="002E5315">
        <w:rPr>
          <w:rFonts w:eastAsia="Malgun Gothic"/>
          <w:szCs w:val="23"/>
          <w:lang w:eastAsia="ko-KR"/>
        </w:rPr>
        <w:t>, kojim se važne novosti, obavijesti i najave priopćuju predbilježenima za ovu vrstu informiranja (aktivnost iz komunikacijskog plana Povjerenika)</w:t>
      </w:r>
      <w:r w:rsidR="00633D93">
        <w:rPr>
          <w:rFonts w:eastAsia="Malgun Gothic"/>
          <w:szCs w:val="23"/>
          <w:lang w:eastAsia="ko-KR"/>
        </w:rPr>
        <w:t>.</w:t>
      </w:r>
    </w:p>
    <w:p w14:paraId="3D3CF3EF" w14:textId="77E2CE37" w:rsidR="001D6475" w:rsidRPr="002E5315" w:rsidRDefault="001D6475" w:rsidP="001D6475">
      <w:pPr>
        <w:rPr>
          <w:rFonts w:eastAsia="Malgun Gothic"/>
          <w:szCs w:val="23"/>
          <w:lang w:eastAsia="ko-KR"/>
        </w:rPr>
      </w:pPr>
    </w:p>
    <w:p w14:paraId="6666DB8F" w14:textId="77777777" w:rsidR="001D6475" w:rsidRPr="002E5315" w:rsidRDefault="001D6475" w:rsidP="001D6475">
      <w:pPr>
        <w:jc w:val="center"/>
        <w:rPr>
          <w:rFonts w:cs="Calibri"/>
          <w:szCs w:val="23"/>
        </w:rPr>
      </w:pPr>
      <w:r w:rsidRPr="002E5315">
        <w:rPr>
          <w:rFonts w:cs="Calibri"/>
          <w:szCs w:val="23"/>
        </w:rPr>
        <w:t>***</w:t>
      </w:r>
    </w:p>
    <w:p w14:paraId="1301DE95" w14:textId="76274B0E" w:rsidR="001D6475" w:rsidRPr="002E5315" w:rsidRDefault="001D6475" w:rsidP="001D6475">
      <w:pPr>
        <w:shd w:val="clear" w:color="auto" w:fill="FFFFFF" w:themeFill="background1"/>
        <w:rPr>
          <w:rFonts w:cs="Segoe UI"/>
          <w:szCs w:val="23"/>
        </w:rPr>
      </w:pPr>
      <w:r w:rsidRPr="002E5315">
        <w:rPr>
          <w:rFonts w:cs="Segoe UI"/>
          <w:szCs w:val="23"/>
        </w:rPr>
        <w:t>Zadaće Ureda povjerenika u području praćenja i promicanja prava na pristup informacijama tijekom 2019. bile su raznovrsne, ali i učinkovite, u najvećoj mjeri usmjeravane</w:t>
      </w:r>
      <w:r w:rsidR="00954DB8" w:rsidRPr="002E5315">
        <w:rPr>
          <w:rFonts w:cs="Segoe UI"/>
          <w:szCs w:val="23"/>
        </w:rPr>
        <w:t xml:space="preserve"> </w:t>
      </w:r>
      <w:r w:rsidRPr="002E5315">
        <w:rPr>
          <w:rFonts w:cs="Segoe UI"/>
          <w:szCs w:val="23"/>
        </w:rPr>
        <w:t>prioritetima</w:t>
      </w:r>
      <w:r w:rsidR="00954DB8" w:rsidRPr="002E5315">
        <w:rPr>
          <w:rFonts w:cs="Segoe UI"/>
          <w:szCs w:val="23"/>
        </w:rPr>
        <w:t xml:space="preserve"> </w:t>
      </w:r>
      <w:r w:rsidRPr="002E5315">
        <w:rPr>
          <w:rFonts w:cs="Segoe UI"/>
          <w:szCs w:val="23"/>
        </w:rPr>
        <w:t>zadanim u prošlom izvještajnom razdoblju.</w:t>
      </w:r>
    </w:p>
    <w:p w14:paraId="49C4C79B" w14:textId="14736752" w:rsidR="001D6475" w:rsidRPr="002E5315" w:rsidRDefault="001D6475" w:rsidP="001D6475">
      <w:pPr>
        <w:shd w:val="clear" w:color="auto" w:fill="FFFFFF" w:themeFill="background1"/>
        <w:rPr>
          <w:rFonts w:cs="Segoe UI"/>
          <w:szCs w:val="23"/>
        </w:rPr>
      </w:pPr>
      <w:r w:rsidRPr="002E5315">
        <w:rPr>
          <w:rFonts w:cs="Segoe UI"/>
          <w:szCs w:val="23"/>
        </w:rPr>
        <w:t>Kontinuirana, ali i dodatna analitička praćenja odabranih segmenata proaktivne objave informacija, ukazala su na nepravilnosti, ali i nesnalaženja u postupanju tijela te uzročno tome i na potrebu provedbe daljnjih ciljanih praćenja u istim ili drugim segmentima koji bilježe najslabije rezultate, gdje posebno ukazujemo na objavu Popisa baza podataka i objavu registara i baza podataka u strojno čitljivom obliku radi omogućavanja ponovne uporabe, što iziskuje snažnije poticanje otvaranja podataka na nacionalnoj razini s planiranim zadaćama i hodogramom aktivnosti za središnja tijela, uz kooridnaciju SDURDD.</w:t>
      </w:r>
    </w:p>
    <w:p w14:paraId="1D2A581B" w14:textId="2A4F7D2C" w:rsidR="001D6475" w:rsidRPr="002E5315" w:rsidRDefault="001D6475" w:rsidP="001D6475">
      <w:pPr>
        <w:shd w:val="clear" w:color="auto" w:fill="FFFFFF" w:themeFill="background1"/>
        <w:rPr>
          <w:rFonts w:cs="Segoe UI"/>
          <w:szCs w:val="23"/>
        </w:rPr>
      </w:pPr>
      <w:r w:rsidRPr="002E5315">
        <w:rPr>
          <w:rFonts w:cs="Segoe UI"/>
          <w:szCs w:val="23"/>
        </w:rPr>
        <w:t>Pojačano praćenje provedbe savjetovanja s javnošću, kombinirano s edukativnim i promotivnim aktivnostima, svakako je pridonijelo afirmaciji instituta savjetovanja i osvješćivanju važnosti njihove provedbe, međutim još uvijek nije polučilo željeni efekt u kvaliteti same provedbe, čime je određen smjer djelovanja Ureda povjerenika u 2020.</w:t>
      </w:r>
    </w:p>
    <w:p w14:paraId="7C82D2A1" w14:textId="77777777" w:rsidR="001D6475" w:rsidRPr="002E5315" w:rsidRDefault="001D6475" w:rsidP="001D6475">
      <w:pPr>
        <w:shd w:val="clear" w:color="auto" w:fill="FFFFFF" w:themeFill="background1"/>
        <w:rPr>
          <w:rFonts w:cs="Segoe UI"/>
          <w:szCs w:val="23"/>
        </w:rPr>
      </w:pPr>
      <w:r w:rsidRPr="002E5315">
        <w:rPr>
          <w:rFonts w:cs="Segoe UI"/>
          <w:szCs w:val="23"/>
        </w:rPr>
        <w:t>Organizacijom vrlo posjećenog prvog godišnjeg savjetovanja službenika za informiranje uspostavljena je mreža stručne podrške i suradnje razmjenom iskustava o praksi na nacionalnoj razini radi standardizacije postupanja.</w:t>
      </w:r>
    </w:p>
    <w:p w14:paraId="7C83512B" w14:textId="41D76DFD" w:rsidR="0085052B" w:rsidRPr="002E5315" w:rsidRDefault="001D6475" w:rsidP="001D6475">
      <w:pPr>
        <w:shd w:val="clear" w:color="auto" w:fill="FFFFFF" w:themeFill="background1"/>
        <w:rPr>
          <w:rFonts w:cs="Segoe UI"/>
          <w:sz w:val="22"/>
          <w:szCs w:val="22"/>
        </w:rPr>
      </w:pPr>
      <w:r w:rsidRPr="002E5315">
        <w:rPr>
          <w:rFonts w:cs="Segoe UI"/>
          <w:szCs w:val="23"/>
        </w:rPr>
        <w:t>Edukacijska shema obogaćena je razvojem naprednog modula s praktičnim vježbama za službenike za informiranje, a kao posebne ciljne skupine kojima se proaktivno pristupa identificirani su čelnici i rukovodeći službenici, a na strani korisnika - mladi kao budući korisnici prava na pristup informacijama, kojima se valja obraćati na specijaliziran način</w:t>
      </w:r>
      <w:r w:rsidR="0085052B" w:rsidRPr="002E5315">
        <w:rPr>
          <w:rFonts w:cs="Segoe UI"/>
          <w:sz w:val="22"/>
          <w:szCs w:val="22"/>
        </w:rPr>
        <w:t>.</w:t>
      </w:r>
    </w:p>
    <w:p w14:paraId="54CDDE5F" w14:textId="77777777" w:rsidR="0085052B" w:rsidRPr="002E5315" w:rsidRDefault="0085052B" w:rsidP="0085052B">
      <w:pPr>
        <w:spacing w:after="200"/>
        <w:rPr>
          <w:rFonts w:eastAsia="Calibri" w:cs="Arial"/>
          <w:b/>
          <w:bCs/>
          <w:kern w:val="32"/>
          <w:sz w:val="22"/>
          <w:szCs w:val="22"/>
        </w:rPr>
      </w:pPr>
      <w:r w:rsidRPr="002E5315">
        <w:rPr>
          <w:rFonts w:cs="Arial"/>
          <w:sz w:val="22"/>
          <w:szCs w:val="22"/>
        </w:rPr>
        <w:br w:type="page"/>
      </w:r>
    </w:p>
    <w:p w14:paraId="78D8D72C" w14:textId="49BB84A8" w:rsidR="0085052B" w:rsidRPr="002E5315" w:rsidRDefault="0085052B" w:rsidP="00F76685">
      <w:pPr>
        <w:pStyle w:val="Naslov1"/>
        <w:numPr>
          <w:ilvl w:val="0"/>
          <w:numId w:val="0"/>
        </w:numPr>
      </w:pPr>
      <w:bookmarkStart w:id="106" w:name="_Toc36308996"/>
      <w:r w:rsidRPr="002E5315">
        <w:t>C) P</w:t>
      </w:r>
      <w:r w:rsidR="00F76685" w:rsidRPr="002E5315">
        <w:t>OSTUPANJE POVJERENIKA U DRUGIM PODRUČJIMA</w:t>
      </w:r>
      <w:bookmarkEnd w:id="106"/>
    </w:p>
    <w:p w14:paraId="074C4C98" w14:textId="005733CC" w:rsidR="006327DC" w:rsidRPr="002E5315" w:rsidRDefault="006327DC" w:rsidP="006327DC">
      <w:pPr>
        <w:rPr>
          <w:rFonts w:eastAsia="SimSun"/>
          <w:lang w:eastAsia="zh-CN"/>
        </w:rPr>
      </w:pPr>
      <w:r w:rsidRPr="002E5315">
        <w:rPr>
          <w:szCs w:val="23"/>
        </w:rPr>
        <w:t>Povjerenik je žalbeno tijelo za pristup informacijama o javnom arhivskom gradivu i pristup informacijama o okolišu te tijelo nadležno za prov</w:t>
      </w:r>
      <w:r w:rsidR="00D93D25">
        <w:rPr>
          <w:szCs w:val="23"/>
        </w:rPr>
        <w:t>e</w:t>
      </w:r>
      <w:r w:rsidRPr="002E5315">
        <w:rPr>
          <w:szCs w:val="23"/>
        </w:rPr>
        <w:t>dbu inspekcijskog nadzora u području digitalne pristupačnosti. Iako je riječ o upravnim područjima koja su uređena posebnim propisima, u okviru nadležnosti Povjerenika upućuju na</w:t>
      </w:r>
      <w:r w:rsidR="00954DB8" w:rsidRPr="002E5315">
        <w:rPr>
          <w:szCs w:val="23"/>
        </w:rPr>
        <w:t xml:space="preserve"> </w:t>
      </w:r>
      <w:r w:rsidRPr="002E5315">
        <w:rPr>
          <w:szCs w:val="23"/>
        </w:rPr>
        <w:t>odgovarajuću primjenu ZPPI-ja.</w:t>
      </w:r>
    </w:p>
    <w:p w14:paraId="31C3AC12" w14:textId="7DDFA1BA" w:rsidR="0085052B" w:rsidRPr="002E5315" w:rsidRDefault="0085052B" w:rsidP="002B199F">
      <w:pPr>
        <w:pStyle w:val="Naslov1"/>
        <w:rPr>
          <w:rFonts w:eastAsia="SimSun"/>
          <w:lang w:eastAsia="zh-CN"/>
        </w:rPr>
      </w:pPr>
      <w:bookmarkStart w:id="107" w:name="_Toc36308997"/>
      <w:r w:rsidRPr="002E5315">
        <w:rPr>
          <w:rFonts w:eastAsia="SimSun"/>
          <w:lang w:eastAsia="zh-CN"/>
        </w:rPr>
        <w:t>Dostupnost i</w:t>
      </w:r>
      <w:r w:rsidRPr="002E5315">
        <w:t>nformacija o okolišu</w:t>
      </w:r>
      <w:bookmarkEnd w:id="107"/>
    </w:p>
    <w:p w14:paraId="5B19D750" w14:textId="77777777" w:rsidR="006327DC" w:rsidRPr="002E5315" w:rsidRDefault="006327DC" w:rsidP="006327DC">
      <w:pPr>
        <w:pStyle w:val="Odlomakpopisa"/>
        <w:shd w:val="clear" w:color="auto" w:fill="FFFFFF"/>
        <w:ind w:left="0"/>
        <w:rPr>
          <w:rFonts w:ascii="Gill Sans MT" w:eastAsia="Calibri" w:hAnsi="Gill Sans MT"/>
          <w:bCs/>
          <w:kern w:val="32"/>
          <w:sz w:val="23"/>
          <w:szCs w:val="23"/>
        </w:rPr>
      </w:pPr>
      <w:r w:rsidRPr="002E5315">
        <w:rPr>
          <w:rFonts w:ascii="Gill Sans MT" w:eastAsia="Calibri" w:hAnsi="Gill Sans MT"/>
          <w:bCs/>
          <w:kern w:val="32"/>
          <w:sz w:val="23"/>
          <w:szCs w:val="23"/>
        </w:rPr>
        <w:t>Povjerenik sukladno odredbama Zakona o zaštiti okoliša (NN 80/13, 153/13, 78/15, 12/18, 118/18) predstavlja žalbeno tijelo u slučaju odbijanja zahtjeva za davanje informacija o okolišu.</w:t>
      </w:r>
    </w:p>
    <w:p w14:paraId="0965F2A8" w14:textId="4681C64B" w:rsidR="006327DC" w:rsidRPr="002E5315" w:rsidRDefault="006327DC" w:rsidP="006327DC">
      <w:pPr>
        <w:pStyle w:val="Odlomakpopisa"/>
        <w:shd w:val="clear" w:color="auto" w:fill="FFFFFF"/>
        <w:ind w:left="0"/>
        <w:rPr>
          <w:rFonts w:ascii="Gill Sans MT" w:eastAsia="Calibri" w:hAnsi="Gill Sans MT" w:cs="Arial"/>
          <w:bCs/>
          <w:kern w:val="32"/>
          <w:sz w:val="23"/>
          <w:szCs w:val="23"/>
        </w:rPr>
      </w:pPr>
      <w:r w:rsidRPr="002E5315">
        <w:rPr>
          <w:rFonts w:ascii="Gill Sans MT" w:eastAsia="Calibri" w:hAnsi="Gill Sans MT" w:cs="Arial"/>
          <w:bCs/>
          <w:kern w:val="32"/>
          <w:sz w:val="23"/>
          <w:szCs w:val="23"/>
        </w:rPr>
        <w:t xml:space="preserve">Zakonom o zaštiti okoliša je preuzeta Direktiva 2003/4/EZ o javnom pristupu informacijama o okolišu te je isti ujedno usklađen s Konvencijom o pristupu informacijama, sudjelovanju javnosti u odlučivanju i pristupu pravosuđu u pitanjima okoliša (Aarhuška konvencija). Uz Zakon o zaštiti okoliša, </w:t>
      </w:r>
      <w:r w:rsidRPr="002E5315">
        <w:rPr>
          <w:rFonts w:ascii="Gill Sans MT" w:eastAsia="Calibri" w:hAnsi="Gill Sans MT"/>
          <w:bCs/>
          <w:kern w:val="32"/>
          <w:sz w:val="23"/>
          <w:szCs w:val="23"/>
        </w:rPr>
        <w:t xml:space="preserve">pristup informacijama i sudjelovanje javnosti u pitanjima koja se tiču okoliša, uređen je i </w:t>
      </w:r>
      <w:r w:rsidRPr="002E5315">
        <w:rPr>
          <w:rFonts w:ascii="Gill Sans MT" w:eastAsia="Calibri" w:hAnsi="Gill Sans MT" w:cs="Arial"/>
          <w:bCs/>
          <w:kern w:val="32"/>
          <w:sz w:val="23"/>
          <w:szCs w:val="23"/>
        </w:rPr>
        <w:t>Uredbom o informiranju i sudjelovanju javnosti i zainteresirane javnosti u pitanjima zaštite okoliša (NN 64/08), donesenom po Zakonu iz 2007.</w:t>
      </w:r>
    </w:p>
    <w:p w14:paraId="271ABB4C" w14:textId="7BA105C2" w:rsidR="006327DC" w:rsidRPr="002E5315" w:rsidRDefault="006327DC" w:rsidP="006327DC">
      <w:pPr>
        <w:pStyle w:val="Odlomakpopisa"/>
        <w:shd w:val="clear" w:color="auto" w:fill="FFFFFF"/>
        <w:ind w:left="0"/>
        <w:rPr>
          <w:rFonts w:ascii="Gill Sans MT" w:eastAsia="Calibri" w:hAnsi="Gill Sans MT" w:cs="Arial"/>
          <w:bCs/>
          <w:kern w:val="32"/>
          <w:sz w:val="23"/>
          <w:szCs w:val="23"/>
        </w:rPr>
      </w:pPr>
      <w:r w:rsidRPr="002E5315">
        <w:rPr>
          <w:rFonts w:ascii="Gill Sans MT" w:hAnsi="Gill Sans MT"/>
          <w:sz w:val="23"/>
          <w:szCs w:val="23"/>
        </w:rPr>
        <w:t>Informacije o okolišu predstavljaju informacije od velikog javnog interesa te su neposredno vezane uz zaštitu zdravlja ljudi, održivi razvoj i kvalitetu života budućih generacija. Slijedom navedenog, očuvanje prirode i čovjekova okoliša, između ostalih, najviše su vrednote ustavnog poretka Republike Hrvatske i temelj za tumačenje Ustava. Mogućnost pristupa okolišnim informacijama neposredno utječe na pravo javnosti da sudjeluje u odlučivanju o određenim djelatnostima vezano za pitanja zaštite okoliša, što predstavlja značajan alat koji građanima daje legitimaciju da budu aktivni sudionici u kreiranju javnih politika koje se odnose na zaštitu okoliša.</w:t>
      </w:r>
    </w:p>
    <w:p w14:paraId="47902927" w14:textId="77777777" w:rsidR="006327DC" w:rsidRPr="002E5315" w:rsidRDefault="006327DC" w:rsidP="006327DC">
      <w:pPr>
        <w:pStyle w:val="Tijeloteksta-uvlaka3"/>
        <w:ind w:left="0" w:firstLine="0"/>
        <w:rPr>
          <w:rFonts w:cs="Arial"/>
          <w:szCs w:val="23"/>
          <w:lang w:val="hr-HR"/>
        </w:rPr>
      </w:pPr>
      <w:r w:rsidRPr="002E5315">
        <w:rPr>
          <w:rFonts w:cs="Arial"/>
          <w:szCs w:val="23"/>
          <w:lang w:val="hr-HR"/>
        </w:rPr>
        <w:t>Korisnici prava na pristup informacijama se u pravilu u svojim žalbama pozivaju na odredbe ZPPI-ja, s obzirom na to da je pravni režim uređen navedenim Zakonom povoljniji za korisnika od režima iz Zakona o zaštiti okoliša te Povjerenik u tim postupcima primjenjuje odredbe ZPPI-ja, uzimajući u obzir i propise iz područja okoliša.</w:t>
      </w:r>
    </w:p>
    <w:p w14:paraId="774DF3A1" w14:textId="77777777" w:rsidR="006327DC" w:rsidRPr="002E5315" w:rsidRDefault="006327DC" w:rsidP="006327DC">
      <w:pPr>
        <w:pStyle w:val="Odlomakpopisa"/>
        <w:ind w:left="0"/>
        <w:rPr>
          <w:rFonts w:ascii="Gill Sans MT" w:hAnsi="Gill Sans MT" w:cs="Arial"/>
          <w:sz w:val="23"/>
          <w:szCs w:val="23"/>
        </w:rPr>
      </w:pPr>
      <w:r w:rsidRPr="002E5315">
        <w:rPr>
          <w:rFonts w:ascii="Gill Sans MT" w:hAnsi="Gill Sans MT" w:cs="Arial"/>
          <w:sz w:val="23"/>
          <w:szCs w:val="23"/>
        </w:rPr>
        <w:t>U 2019. je podneseno 38 žalbi vezanih uz pristup informacijama o okolišu (Tablica 5.1.), a 4 žalbe su prenesene iz prethodnih godina. Od podnesenih 38 žalbi, 30 se odnosilo na šutnju uprave (79%), dok je 7 žalbi izjavljeno na rješenje o odbijanju/odbacivanju zahtjeva, a jedna žalba je izjavljena na rješenje o odbijanju prigovora</w:t>
      </w:r>
      <w:r w:rsidR="0085052B" w:rsidRPr="002E5315">
        <w:rPr>
          <w:rFonts w:ascii="Gill Sans MT" w:hAnsi="Gill Sans MT" w:cs="Arial"/>
          <w:sz w:val="23"/>
          <w:szCs w:val="23"/>
        </w:rPr>
        <w:t>.</w:t>
      </w:r>
    </w:p>
    <w:p w14:paraId="34C33943" w14:textId="6B66CD7F" w:rsidR="0085052B" w:rsidRPr="002E5315" w:rsidRDefault="006327DC" w:rsidP="00FB52CC">
      <w:pPr>
        <w:pStyle w:val="Odlomakpopisa"/>
        <w:ind w:left="0"/>
        <w:rPr>
          <w:rFonts w:ascii="Gill Sans MT" w:hAnsi="Gill Sans MT" w:cs="Arial"/>
          <w:sz w:val="23"/>
          <w:szCs w:val="23"/>
        </w:rPr>
      </w:pPr>
      <w:r w:rsidRPr="002E5315">
        <w:rPr>
          <w:rFonts w:ascii="Gill Sans MT" w:hAnsi="Gill Sans MT" w:cs="Arial"/>
          <w:sz w:val="23"/>
          <w:szCs w:val="23"/>
        </w:rPr>
        <w:t>Podnositelji žalbi su bile udruge koje se bave zaštitom okoliša, građanske inicijative, fizičke osobe i jedno trgovačko društvo, a žalbe su se najčešće odnosile na pitanja komunalne djelatnosti lokalne i regionalne samouprave s posebnim naglaskom na sustav odvojenog prikupljanja otpada, postupanje tijela javne vlasti u području zaštite okoliša i upravljanja prirodnim resursima, utjecaj djelatnosti tijela javne vlasti i privatnih pravnih osoba na zdravlje ljudi i onečišćenje, rezultate inspekcijskog nadzora vezane uz okolišna pitanja.</w:t>
      </w:r>
    </w:p>
    <w:p w14:paraId="407884A6" w14:textId="5FA56BBF" w:rsidR="0085052B" w:rsidRPr="002E5315" w:rsidRDefault="0085052B" w:rsidP="0085052B">
      <w:pPr>
        <w:pStyle w:val="Odlomakpopisa"/>
        <w:keepNext/>
        <w:ind w:left="360"/>
        <w:rPr>
          <w:rFonts w:ascii="Gill Sans MT" w:hAnsi="Gill Sans MT"/>
          <w:sz w:val="20"/>
          <w:szCs w:val="20"/>
        </w:rPr>
      </w:pPr>
      <w:r w:rsidRPr="002E5315">
        <w:rPr>
          <w:rFonts w:ascii="Gill Sans MT" w:hAnsi="Gill Sans MT" w:cs="Arial"/>
          <w:sz w:val="20"/>
          <w:szCs w:val="20"/>
        </w:rPr>
        <w:t xml:space="preserve">Tablica </w:t>
      </w:r>
      <w:r w:rsidR="00E1444E" w:rsidRPr="002E5315">
        <w:rPr>
          <w:rFonts w:ascii="Gill Sans MT" w:hAnsi="Gill Sans MT" w:cs="Arial"/>
          <w:sz w:val="20"/>
          <w:szCs w:val="20"/>
        </w:rPr>
        <w:t>11</w:t>
      </w:r>
      <w:r w:rsidRPr="002E5315">
        <w:rPr>
          <w:rFonts w:ascii="Gill Sans MT" w:hAnsi="Gill Sans MT" w:cs="Arial"/>
          <w:sz w:val="20"/>
          <w:szCs w:val="20"/>
        </w:rPr>
        <w:t>.1. Žalbe u vezi informacija o okolišu</w:t>
      </w:r>
    </w:p>
    <w:tbl>
      <w:tblPr>
        <w:tblStyle w:val="LightShading-Accent11"/>
        <w:tblW w:w="5000" w:type="pct"/>
        <w:jc w:val="right"/>
        <w:tblLook w:val="04A0" w:firstRow="1" w:lastRow="0" w:firstColumn="1" w:lastColumn="0" w:noHBand="0" w:noVBand="1"/>
      </w:tblPr>
      <w:tblGrid>
        <w:gridCol w:w="2090"/>
        <w:gridCol w:w="702"/>
        <w:gridCol w:w="3529"/>
        <w:gridCol w:w="2967"/>
      </w:tblGrid>
      <w:tr w:rsidR="0085052B" w:rsidRPr="002E5315" w14:paraId="6B4FF039" w14:textId="77777777" w:rsidTr="006327DC">
        <w:trPr>
          <w:cnfStyle w:val="100000000000" w:firstRow="1" w:lastRow="0" w:firstColumn="0" w:lastColumn="0" w:oddVBand="0" w:evenVBand="0" w:oddHBand="0" w:evenHBand="0" w:firstRowFirstColumn="0" w:firstRowLastColumn="0" w:lastRowFirstColumn="0" w:lastRowLastColumn="0"/>
          <w:trHeight w:val="458"/>
          <w:jc w:val="right"/>
        </w:trPr>
        <w:tc>
          <w:tcPr>
            <w:cnfStyle w:val="001000000000" w:firstRow="0" w:lastRow="0" w:firstColumn="1" w:lastColumn="0" w:oddVBand="0" w:evenVBand="0" w:oddHBand="0" w:evenHBand="0" w:firstRowFirstColumn="0" w:firstRowLastColumn="0" w:lastRowFirstColumn="0" w:lastRowLastColumn="0"/>
            <w:tcW w:w="1125" w:type="pct"/>
          </w:tcPr>
          <w:p w14:paraId="6A85AED1" w14:textId="77777777" w:rsidR="0085052B" w:rsidRPr="002E5315" w:rsidRDefault="0085052B" w:rsidP="0085052B">
            <w:pPr>
              <w:rPr>
                <w:color w:val="auto"/>
                <w:sz w:val="20"/>
                <w:szCs w:val="20"/>
              </w:rPr>
            </w:pPr>
            <w:r w:rsidRPr="002E5315">
              <w:rPr>
                <w:color w:val="auto"/>
                <w:sz w:val="20"/>
                <w:szCs w:val="20"/>
              </w:rPr>
              <w:t>Podnositelj žalbi</w:t>
            </w:r>
          </w:p>
        </w:tc>
        <w:tc>
          <w:tcPr>
            <w:tcW w:w="378" w:type="pct"/>
          </w:tcPr>
          <w:p w14:paraId="259071F4" w14:textId="77777777" w:rsidR="0085052B" w:rsidRPr="002E5315" w:rsidRDefault="0085052B" w:rsidP="0085052B">
            <w:pP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Broj žalbi</w:t>
            </w:r>
          </w:p>
        </w:tc>
        <w:tc>
          <w:tcPr>
            <w:tcW w:w="1900" w:type="pct"/>
          </w:tcPr>
          <w:p w14:paraId="317051F1" w14:textId="77777777" w:rsidR="0085052B" w:rsidRPr="002E5315" w:rsidRDefault="0085052B" w:rsidP="0085052B">
            <w:pP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Tijelo javne vlasti protiv čije odluke ili šutnje su podnesene žalbe</w:t>
            </w:r>
          </w:p>
        </w:tc>
        <w:tc>
          <w:tcPr>
            <w:tcW w:w="1598" w:type="pct"/>
          </w:tcPr>
          <w:p w14:paraId="3D045C26" w14:textId="77777777" w:rsidR="0085052B" w:rsidRPr="002E5315" w:rsidRDefault="0085052B" w:rsidP="0085052B">
            <w:pPr>
              <w:cnfStyle w:val="100000000000" w:firstRow="1"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 xml:space="preserve">Informacije koje se traže </w:t>
            </w:r>
          </w:p>
        </w:tc>
      </w:tr>
      <w:tr w:rsidR="0085052B" w:rsidRPr="002E5315" w14:paraId="4DF55DEC" w14:textId="77777777" w:rsidTr="00C3591E">
        <w:trPr>
          <w:cnfStyle w:val="000000100000" w:firstRow="0" w:lastRow="0" w:firstColumn="0" w:lastColumn="0" w:oddVBand="0" w:evenVBand="0" w:oddHBand="1" w:evenHBand="0" w:firstRowFirstColumn="0" w:firstRowLastColumn="0" w:lastRowFirstColumn="0" w:lastRowLastColumn="0"/>
          <w:trHeight w:val="1410"/>
          <w:jc w:val="right"/>
        </w:trPr>
        <w:tc>
          <w:tcPr>
            <w:cnfStyle w:val="001000000000" w:firstRow="0" w:lastRow="0" w:firstColumn="1" w:lastColumn="0" w:oddVBand="0" w:evenVBand="0" w:oddHBand="0" w:evenHBand="0" w:firstRowFirstColumn="0" w:firstRowLastColumn="0" w:lastRowFirstColumn="0" w:lastRowLastColumn="0"/>
            <w:tcW w:w="1125" w:type="pct"/>
          </w:tcPr>
          <w:p w14:paraId="74BFB36A" w14:textId="77777777" w:rsidR="0085052B" w:rsidRPr="002E5315" w:rsidRDefault="0085052B" w:rsidP="0085052B">
            <w:pPr>
              <w:rPr>
                <w:bCs w:val="0"/>
                <w:color w:val="auto"/>
                <w:sz w:val="20"/>
                <w:szCs w:val="20"/>
              </w:rPr>
            </w:pPr>
            <w:r w:rsidRPr="002E5315">
              <w:rPr>
                <w:bCs w:val="0"/>
                <w:color w:val="auto"/>
                <w:sz w:val="20"/>
                <w:szCs w:val="20"/>
              </w:rPr>
              <w:t xml:space="preserve">Udruge </w:t>
            </w:r>
          </w:p>
          <w:p w14:paraId="7952DB52" w14:textId="77777777" w:rsidR="0085052B" w:rsidRPr="002E5315" w:rsidRDefault="0085052B" w:rsidP="0085052B">
            <w:pPr>
              <w:rPr>
                <w:b w:val="0"/>
                <w:color w:val="auto"/>
                <w:sz w:val="20"/>
                <w:szCs w:val="20"/>
              </w:rPr>
            </w:pPr>
          </w:p>
          <w:p w14:paraId="7AB4D5B1" w14:textId="77777777" w:rsidR="0085052B" w:rsidRPr="002E5315" w:rsidRDefault="0085052B" w:rsidP="0085052B">
            <w:pPr>
              <w:rPr>
                <w:b w:val="0"/>
                <w:i/>
                <w:color w:val="auto"/>
                <w:sz w:val="20"/>
                <w:szCs w:val="20"/>
              </w:rPr>
            </w:pPr>
            <w:r w:rsidRPr="002E5315">
              <w:rPr>
                <w:b w:val="0"/>
                <w:i/>
                <w:color w:val="auto"/>
                <w:sz w:val="20"/>
                <w:szCs w:val="20"/>
              </w:rPr>
              <w:t>Udruga Sunce, Zelena Istra, Zelena Akcija, Eco Hvar, Krizni Eko Stožer Marišćina, Krizni Eko Stožer Konjščina, Udruga BIOM, Društvo Marjan, WWF Adria, Hrvatska udruga korisnika parkirališnih usluga</w:t>
            </w:r>
          </w:p>
        </w:tc>
        <w:tc>
          <w:tcPr>
            <w:tcW w:w="378" w:type="pct"/>
            <w:shd w:val="clear" w:color="auto" w:fill="D9E2F3" w:themeFill="accent1" w:themeFillTint="33"/>
          </w:tcPr>
          <w:p w14:paraId="0676DFB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19</w:t>
            </w:r>
          </w:p>
        </w:tc>
        <w:tc>
          <w:tcPr>
            <w:tcW w:w="1900" w:type="pct"/>
            <w:vMerge w:val="restart"/>
          </w:tcPr>
          <w:p w14:paraId="19711F10"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Arial"/>
                <w:i/>
                <w:color w:val="auto"/>
                <w:sz w:val="20"/>
                <w:szCs w:val="20"/>
              </w:rPr>
            </w:pPr>
            <w:r w:rsidRPr="002E5315">
              <w:rPr>
                <w:rFonts w:cs="Arial"/>
                <w:i/>
                <w:color w:val="auto"/>
                <w:sz w:val="20"/>
                <w:szCs w:val="20"/>
              </w:rPr>
              <w:t xml:space="preserve">HEP d.d., Ministarstvo graditeljstva i prostornoga uređenja, Općina Marina, Grad Vodnjan, Grad Split, Ministarstvo zaštite okoliša i energetike, Ministarstvo kulture, Ministarstvo poljoprivrede, Grad Skradin, Nastavni zavod za javno zdravstvo Splitsko-dalmatinske županije, Čistoća Pag d.o.o., Dubrovačko-neretvanska županija, Ekoplus d.o.o., HBOR, Hrvatski lovački savez, Državni inspektorat, </w:t>
            </w:r>
            <w:r w:rsidRPr="002E5315">
              <w:rPr>
                <w:bCs/>
                <w:i/>
                <w:iCs/>
                <w:color w:val="auto"/>
                <w:sz w:val="20"/>
                <w:szCs w:val="20"/>
              </w:rPr>
              <w:t>Općina Konjščina, Grad Zagreb,</w:t>
            </w:r>
            <w:r w:rsidRPr="002E5315">
              <w:rPr>
                <w:sz w:val="20"/>
                <w:szCs w:val="20"/>
              </w:rPr>
              <w:t xml:space="preserve"> </w:t>
            </w:r>
            <w:r w:rsidRPr="002E5315">
              <w:rPr>
                <w:bCs/>
                <w:i/>
                <w:iCs/>
                <w:color w:val="auto"/>
                <w:sz w:val="20"/>
                <w:szCs w:val="20"/>
              </w:rPr>
              <w:t>Zračna luka Dubrovnik d.o.o., Koprivničke vode d.o.o., Općina Marija Gorica, Općina Dugopolje, Javna ustanova "More i krš", Općina Viškovo, Javna ustanova Natura Viva</w:t>
            </w:r>
          </w:p>
        </w:tc>
        <w:tc>
          <w:tcPr>
            <w:tcW w:w="1598" w:type="pct"/>
            <w:vMerge w:val="restart"/>
          </w:tcPr>
          <w:p w14:paraId="23C1696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i/>
                <w:color w:val="auto"/>
                <w:sz w:val="20"/>
                <w:szCs w:val="20"/>
              </w:rPr>
            </w:pPr>
            <w:r w:rsidRPr="002E5315">
              <w:rPr>
                <w:i/>
                <w:color w:val="auto"/>
                <w:sz w:val="20"/>
                <w:szCs w:val="20"/>
              </w:rPr>
              <w:t>Informacije o dezinsekciji i deratizaciji na Hvaru; Studija izvodljivosti za Centar za gospodarenje otpadom Lučino razdolje; dostava dokumentacije o zagađenju fekalnim vodama; informacije o kanalizacijskom mulju; informacije o lovoovlaštenicima; dostava svih analiza vode privatnih bunara na području podravskih općina; akcijski plan poboljšanja kvalitete zraka na području Općine Viškovo; info o održavanju odvodnih kanala, javnih puteva, o poduzimanju protiv građana koji parkiraju na zelenim površinama; dokumentacija i informacije sadržane u predmetima inspekcijskog nadzora prekoračenja buke; izvješće o praćenju razine i protoka vode na slapu Šušnjak na rijeci Mrežnici; informacije o sustavu odvojenog prikupljanja otpada i sl.</w:t>
            </w:r>
          </w:p>
        </w:tc>
      </w:tr>
      <w:tr w:rsidR="0085052B" w:rsidRPr="002E5315" w14:paraId="52528680" w14:textId="77777777" w:rsidTr="006327DC">
        <w:trPr>
          <w:trHeight w:val="229"/>
          <w:jc w:val="right"/>
        </w:trPr>
        <w:tc>
          <w:tcPr>
            <w:cnfStyle w:val="001000000000" w:firstRow="0" w:lastRow="0" w:firstColumn="1" w:lastColumn="0" w:oddVBand="0" w:evenVBand="0" w:oddHBand="0" w:evenHBand="0" w:firstRowFirstColumn="0" w:firstRowLastColumn="0" w:lastRowFirstColumn="0" w:lastRowLastColumn="0"/>
            <w:tcW w:w="1125" w:type="pct"/>
          </w:tcPr>
          <w:p w14:paraId="592107D7" w14:textId="77777777" w:rsidR="0085052B" w:rsidRPr="002E5315" w:rsidRDefault="0085052B" w:rsidP="0085052B">
            <w:pPr>
              <w:rPr>
                <w:bCs w:val="0"/>
                <w:color w:val="auto"/>
                <w:sz w:val="20"/>
                <w:szCs w:val="20"/>
              </w:rPr>
            </w:pPr>
            <w:r w:rsidRPr="002E5315">
              <w:rPr>
                <w:bCs w:val="0"/>
                <w:color w:val="auto"/>
                <w:sz w:val="20"/>
                <w:szCs w:val="20"/>
              </w:rPr>
              <w:t>Fizičke osobe</w:t>
            </w:r>
          </w:p>
        </w:tc>
        <w:tc>
          <w:tcPr>
            <w:tcW w:w="378" w:type="pct"/>
          </w:tcPr>
          <w:p w14:paraId="6336AC87"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12</w:t>
            </w:r>
          </w:p>
        </w:tc>
        <w:tc>
          <w:tcPr>
            <w:tcW w:w="1900" w:type="pct"/>
            <w:vMerge/>
          </w:tcPr>
          <w:p w14:paraId="4385A6B0" w14:textId="77777777" w:rsidR="0085052B" w:rsidRPr="002E5315" w:rsidRDefault="0085052B" w:rsidP="0085052B">
            <w:pPr>
              <w:pStyle w:val="Tijeloteksta-uvlaka3"/>
              <w:tabs>
                <w:tab w:val="left" w:pos="2353"/>
              </w:tabs>
              <w:ind w:left="0" w:firstLine="0"/>
              <w:jc w:val="left"/>
              <w:cnfStyle w:val="000000000000" w:firstRow="0" w:lastRow="0" w:firstColumn="0" w:lastColumn="0" w:oddVBand="0" w:evenVBand="0" w:oddHBand="0" w:evenHBand="0" w:firstRowFirstColumn="0" w:firstRowLastColumn="0" w:lastRowFirstColumn="0" w:lastRowLastColumn="0"/>
              <w:rPr>
                <w:rFonts w:cs="Arial"/>
                <w:i/>
                <w:color w:val="auto"/>
                <w:sz w:val="20"/>
                <w:lang w:val="hr-HR"/>
              </w:rPr>
            </w:pPr>
          </w:p>
        </w:tc>
        <w:tc>
          <w:tcPr>
            <w:tcW w:w="1598" w:type="pct"/>
            <w:vMerge/>
          </w:tcPr>
          <w:p w14:paraId="79587A23"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b/>
                <w:color w:val="auto"/>
                <w:sz w:val="20"/>
                <w:szCs w:val="20"/>
              </w:rPr>
            </w:pPr>
          </w:p>
        </w:tc>
      </w:tr>
      <w:tr w:rsidR="0085052B" w:rsidRPr="002E5315" w14:paraId="116C5E92" w14:textId="77777777" w:rsidTr="006327DC">
        <w:trPr>
          <w:cnfStyle w:val="000000100000" w:firstRow="0" w:lastRow="0" w:firstColumn="0" w:lastColumn="0" w:oddVBand="0" w:evenVBand="0" w:oddHBand="1" w:evenHBand="0" w:firstRowFirstColumn="0" w:firstRowLastColumn="0" w:lastRowFirstColumn="0" w:lastRowLastColumn="0"/>
          <w:trHeight w:val="241"/>
          <w:jc w:val="right"/>
        </w:trPr>
        <w:tc>
          <w:tcPr>
            <w:cnfStyle w:val="001000000000" w:firstRow="0" w:lastRow="0" w:firstColumn="1" w:lastColumn="0" w:oddVBand="0" w:evenVBand="0" w:oddHBand="0" w:evenHBand="0" w:firstRowFirstColumn="0" w:firstRowLastColumn="0" w:lastRowFirstColumn="0" w:lastRowLastColumn="0"/>
            <w:tcW w:w="1125" w:type="pct"/>
          </w:tcPr>
          <w:p w14:paraId="42FECB05" w14:textId="77777777" w:rsidR="0085052B" w:rsidRPr="002E5315" w:rsidRDefault="0085052B" w:rsidP="0085052B">
            <w:pPr>
              <w:rPr>
                <w:bCs w:val="0"/>
                <w:color w:val="auto"/>
                <w:sz w:val="20"/>
                <w:szCs w:val="20"/>
              </w:rPr>
            </w:pPr>
            <w:r w:rsidRPr="002E5315">
              <w:rPr>
                <w:bCs w:val="0"/>
                <w:color w:val="auto"/>
                <w:sz w:val="20"/>
                <w:szCs w:val="20"/>
              </w:rPr>
              <w:t>Građanske inicijative</w:t>
            </w:r>
          </w:p>
        </w:tc>
        <w:tc>
          <w:tcPr>
            <w:tcW w:w="378" w:type="pct"/>
          </w:tcPr>
          <w:p w14:paraId="43BF5595"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E5315">
              <w:rPr>
                <w:color w:val="auto"/>
                <w:sz w:val="20"/>
                <w:szCs w:val="20"/>
              </w:rPr>
              <w:t>6</w:t>
            </w:r>
          </w:p>
        </w:tc>
        <w:tc>
          <w:tcPr>
            <w:tcW w:w="1900" w:type="pct"/>
            <w:vMerge/>
          </w:tcPr>
          <w:p w14:paraId="1E431C02" w14:textId="77777777" w:rsidR="0085052B" w:rsidRPr="002E5315" w:rsidRDefault="0085052B" w:rsidP="0085052B">
            <w:pPr>
              <w:pStyle w:val="Tijeloteksta-uvlaka3"/>
              <w:tabs>
                <w:tab w:val="left" w:pos="2353"/>
              </w:tabs>
              <w:ind w:left="0" w:firstLine="0"/>
              <w:jc w:val="left"/>
              <w:cnfStyle w:val="000000100000" w:firstRow="0" w:lastRow="0" w:firstColumn="0" w:lastColumn="0" w:oddVBand="0" w:evenVBand="0" w:oddHBand="1" w:evenHBand="0" w:firstRowFirstColumn="0" w:firstRowLastColumn="0" w:lastRowFirstColumn="0" w:lastRowLastColumn="0"/>
              <w:rPr>
                <w:rFonts w:cs="Arial"/>
                <w:i/>
                <w:color w:val="auto"/>
                <w:sz w:val="20"/>
                <w:lang w:val="hr-HR"/>
              </w:rPr>
            </w:pPr>
          </w:p>
        </w:tc>
        <w:tc>
          <w:tcPr>
            <w:tcW w:w="1598" w:type="pct"/>
            <w:vMerge/>
          </w:tcPr>
          <w:p w14:paraId="0F963B44"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b/>
                <w:color w:val="auto"/>
                <w:sz w:val="20"/>
                <w:szCs w:val="20"/>
              </w:rPr>
            </w:pPr>
          </w:p>
        </w:tc>
      </w:tr>
      <w:tr w:rsidR="0085052B" w:rsidRPr="002E5315" w14:paraId="3FB67872" w14:textId="77777777" w:rsidTr="006327DC">
        <w:trPr>
          <w:trHeight w:val="486"/>
          <w:jc w:val="right"/>
        </w:trPr>
        <w:tc>
          <w:tcPr>
            <w:cnfStyle w:val="001000000000" w:firstRow="0" w:lastRow="0" w:firstColumn="1" w:lastColumn="0" w:oddVBand="0" w:evenVBand="0" w:oddHBand="0" w:evenHBand="0" w:firstRowFirstColumn="0" w:firstRowLastColumn="0" w:lastRowFirstColumn="0" w:lastRowLastColumn="0"/>
            <w:tcW w:w="1125" w:type="pct"/>
          </w:tcPr>
          <w:p w14:paraId="0574C9BB" w14:textId="77777777" w:rsidR="0085052B" w:rsidRPr="002E5315" w:rsidRDefault="0085052B" w:rsidP="0085052B">
            <w:pPr>
              <w:rPr>
                <w:bCs w:val="0"/>
                <w:color w:val="auto"/>
                <w:sz w:val="20"/>
                <w:szCs w:val="20"/>
              </w:rPr>
            </w:pPr>
            <w:r w:rsidRPr="002E5315">
              <w:rPr>
                <w:bCs w:val="0"/>
                <w:color w:val="auto"/>
                <w:sz w:val="20"/>
                <w:szCs w:val="20"/>
              </w:rPr>
              <w:t>Trgovačka društva</w:t>
            </w:r>
          </w:p>
        </w:tc>
        <w:tc>
          <w:tcPr>
            <w:tcW w:w="378" w:type="pct"/>
          </w:tcPr>
          <w:p w14:paraId="6C6BB15F"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E5315">
              <w:rPr>
                <w:color w:val="auto"/>
                <w:sz w:val="20"/>
                <w:szCs w:val="20"/>
              </w:rPr>
              <w:t>1</w:t>
            </w:r>
          </w:p>
        </w:tc>
        <w:tc>
          <w:tcPr>
            <w:tcW w:w="1900" w:type="pct"/>
            <w:vMerge/>
          </w:tcPr>
          <w:p w14:paraId="7A806A51" w14:textId="77777777" w:rsidR="0085052B" w:rsidRPr="002E5315" w:rsidRDefault="0085052B" w:rsidP="0085052B">
            <w:pPr>
              <w:pStyle w:val="Tijeloteksta-uvlaka3"/>
              <w:tabs>
                <w:tab w:val="left" w:pos="2353"/>
              </w:tabs>
              <w:ind w:left="0" w:firstLine="0"/>
              <w:jc w:val="left"/>
              <w:cnfStyle w:val="000000000000" w:firstRow="0" w:lastRow="0" w:firstColumn="0" w:lastColumn="0" w:oddVBand="0" w:evenVBand="0" w:oddHBand="0" w:evenHBand="0" w:firstRowFirstColumn="0" w:firstRowLastColumn="0" w:lastRowFirstColumn="0" w:lastRowLastColumn="0"/>
              <w:rPr>
                <w:rFonts w:cs="Arial"/>
                <w:i/>
                <w:color w:val="auto"/>
                <w:sz w:val="20"/>
                <w:lang w:val="hr-HR"/>
              </w:rPr>
            </w:pPr>
          </w:p>
        </w:tc>
        <w:tc>
          <w:tcPr>
            <w:tcW w:w="1598" w:type="pct"/>
            <w:vMerge/>
          </w:tcPr>
          <w:p w14:paraId="2B7B9957"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b/>
                <w:color w:val="auto"/>
                <w:sz w:val="20"/>
                <w:szCs w:val="20"/>
              </w:rPr>
            </w:pPr>
          </w:p>
        </w:tc>
      </w:tr>
      <w:tr w:rsidR="0085052B" w:rsidRPr="002E5315" w14:paraId="060281C6" w14:textId="77777777" w:rsidTr="006327DC">
        <w:trPr>
          <w:cnfStyle w:val="000000100000" w:firstRow="0" w:lastRow="0" w:firstColumn="0" w:lastColumn="0" w:oddVBand="0" w:evenVBand="0" w:oddHBand="1" w:evenHBand="0" w:firstRowFirstColumn="0" w:firstRowLastColumn="0" w:lastRowFirstColumn="0" w:lastRowLastColumn="0"/>
          <w:trHeight w:val="711"/>
          <w:jc w:val="right"/>
        </w:trPr>
        <w:tc>
          <w:tcPr>
            <w:cnfStyle w:val="001000000000" w:firstRow="0" w:lastRow="0" w:firstColumn="1" w:lastColumn="0" w:oddVBand="0" w:evenVBand="0" w:oddHBand="0" w:evenHBand="0" w:firstRowFirstColumn="0" w:firstRowLastColumn="0" w:lastRowFirstColumn="0" w:lastRowLastColumn="0"/>
            <w:tcW w:w="1125" w:type="pct"/>
            <w:vAlign w:val="center"/>
          </w:tcPr>
          <w:p w14:paraId="56377F16" w14:textId="77777777" w:rsidR="0085052B" w:rsidRPr="002E5315" w:rsidRDefault="0085052B" w:rsidP="0085052B">
            <w:pPr>
              <w:rPr>
                <w:color w:val="auto"/>
                <w:sz w:val="20"/>
                <w:szCs w:val="20"/>
              </w:rPr>
            </w:pPr>
            <w:r w:rsidRPr="002E5315">
              <w:rPr>
                <w:color w:val="auto"/>
                <w:sz w:val="20"/>
                <w:szCs w:val="20"/>
              </w:rPr>
              <w:t>Ukupno</w:t>
            </w:r>
          </w:p>
        </w:tc>
        <w:tc>
          <w:tcPr>
            <w:tcW w:w="2278" w:type="pct"/>
            <w:gridSpan w:val="2"/>
            <w:vAlign w:val="center"/>
          </w:tcPr>
          <w:p w14:paraId="2A134862" w14:textId="77777777" w:rsidR="0085052B" w:rsidRPr="002E5315" w:rsidRDefault="0085052B" w:rsidP="0085052B">
            <w:pPr>
              <w:pStyle w:val="Tijeloteksta-uvlaka3"/>
              <w:tabs>
                <w:tab w:val="left" w:pos="2353"/>
              </w:tabs>
              <w:ind w:left="0" w:firstLine="0"/>
              <w:jc w:val="left"/>
              <w:cnfStyle w:val="000000100000" w:firstRow="0" w:lastRow="0" w:firstColumn="0" w:lastColumn="0" w:oddVBand="0" w:evenVBand="0" w:oddHBand="1" w:evenHBand="0" w:firstRowFirstColumn="0" w:firstRowLastColumn="0" w:lastRowFirstColumn="0" w:lastRowLastColumn="0"/>
              <w:rPr>
                <w:rFonts w:cs="Arial"/>
                <w:b/>
                <w:i/>
                <w:color w:val="auto"/>
                <w:sz w:val="20"/>
                <w:lang w:val="hr-HR"/>
              </w:rPr>
            </w:pPr>
            <w:r w:rsidRPr="002E5315">
              <w:rPr>
                <w:b/>
                <w:color w:val="auto"/>
                <w:sz w:val="20"/>
              </w:rPr>
              <w:t>38 (30 šutnji uprave)</w:t>
            </w:r>
          </w:p>
        </w:tc>
        <w:tc>
          <w:tcPr>
            <w:tcW w:w="1598" w:type="pct"/>
          </w:tcPr>
          <w:p w14:paraId="40CCA5D4"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b/>
                <w:color w:val="auto"/>
                <w:sz w:val="20"/>
                <w:szCs w:val="20"/>
              </w:rPr>
            </w:pPr>
          </w:p>
        </w:tc>
      </w:tr>
    </w:tbl>
    <w:p w14:paraId="6A9A5916" w14:textId="77777777" w:rsidR="006327DC" w:rsidRPr="002E5315" w:rsidRDefault="006327DC" w:rsidP="006327DC">
      <w:pPr>
        <w:pStyle w:val="Odlomakpopisa"/>
        <w:spacing w:before="240"/>
        <w:ind w:left="0"/>
        <w:rPr>
          <w:rFonts w:ascii="Gill Sans MT" w:hAnsi="Gill Sans MT" w:cs="Arial"/>
          <w:sz w:val="23"/>
          <w:szCs w:val="23"/>
        </w:rPr>
      </w:pPr>
      <w:r w:rsidRPr="002E5315">
        <w:rPr>
          <w:rFonts w:ascii="Gill Sans MT" w:hAnsi="Gill Sans MT" w:cs="Arial"/>
          <w:sz w:val="23"/>
          <w:szCs w:val="23"/>
        </w:rPr>
        <w:t>U odnosu na prethodne godine, zabilježeno je povećanje broja uloženih žalbi (2018. ih je zaprimljeno 35), kao i proširenje korisnika prava na pristup informacijama, tijela javne vlasti i vrste zatraženih informacija. Bez obzira na postupno osvješćivanje građana i udruga u odnosu na zakonske mogućnosti ostvarivanja prava na pristup okolišnim informacijama, ističe se kako predstavnici medija u izvještajnoj godini nisu podnijeli niti jednu žalbu.</w:t>
      </w:r>
    </w:p>
    <w:p w14:paraId="3E588F36" w14:textId="61E6823D" w:rsidR="006327DC" w:rsidRPr="002E5315" w:rsidRDefault="006327DC" w:rsidP="006327DC">
      <w:pPr>
        <w:pStyle w:val="Odlomakpopisa"/>
        <w:ind w:left="0"/>
        <w:rPr>
          <w:rFonts w:ascii="Gill Sans MT" w:hAnsi="Gill Sans MT" w:cs="Arial"/>
          <w:sz w:val="23"/>
          <w:szCs w:val="23"/>
        </w:rPr>
      </w:pPr>
      <w:r w:rsidRPr="002E5315">
        <w:rPr>
          <w:rFonts w:ascii="Gill Sans MT" w:hAnsi="Gill Sans MT" w:cs="Arial"/>
          <w:sz w:val="23"/>
          <w:szCs w:val="23"/>
        </w:rPr>
        <w:t>Ukazuje se na negativnu pojavu povećanja broja žalbi zbog šutnje uprave, koja se u odnosu na 2018. udvostručila (s 13 na 30 žalbi) te iznosi 79% svih zaprimljenih žalbi.</w:t>
      </w:r>
    </w:p>
    <w:p w14:paraId="347EE798" w14:textId="667AEBDF" w:rsidR="0085052B" w:rsidRPr="002E5315" w:rsidRDefault="006327DC" w:rsidP="006327DC">
      <w:pPr>
        <w:pStyle w:val="Odlomakpopisa"/>
        <w:ind w:left="0"/>
        <w:rPr>
          <w:rFonts w:ascii="Gill Sans MT" w:hAnsi="Gill Sans MT" w:cs="Arial"/>
          <w:sz w:val="23"/>
          <w:szCs w:val="23"/>
        </w:rPr>
      </w:pPr>
      <w:r w:rsidRPr="002E5315">
        <w:rPr>
          <w:rFonts w:ascii="Gill Sans MT" w:hAnsi="Gill Sans MT" w:cs="Arial"/>
          <w:sz w:val="23"/>
          <w:szCs w:val="23"/>
        </w:rPr>
        <w:t>U odnosu na ostala tijela, krovne institucije u području zaštite okoliša i prirode, poput Ministarstva zaštite okoliša i energetike te Fonda za zaštitu okoliša i energetsku učinkovitost, predstavljaju primjer dobre prakse u pogledu proaktivne objave informacija, uključujući i aplikacije kojima se korisnicima omogućava pristup podacima o okolišu, kao i radu institucija, međutim, dodatno se potiče pravodobna i ažurna objava informacija za ponovnu uporabu</w:t>
      </w:r>
      <w:r w:rsidR="0085052B" w:rsidRPr="002E5315">
        <w:rPr>
          <w:rFonts w:ascii="Gill Sans MT" w:hAnsi="Gill Sans MT" w:cs="Arial"/>
          <w:sz w:val="23"/>
          <w:szCs w:val="23"/>
        </w:rPr>
        <w:t>.</w:t>
      </w:r>
    </w:p>
    <w:p w14:paraId="038791D5" w14:textId="5FAE5057" w:rsidR="0085052B" w:rsidRPr="002E5315" w:rsidRDefault="0085052B" w:rsidP="00E1444E">
      <w:pPr>
        <w:pStyle w:val="Naslov1"/>
      </w:pPr>
      <w:bookmarkStart w:id="108" w:name="_Toc36308998"/>
      <w:r w:rsidRPr="002E5315">
        <w:t>Dostupnost arhivskog gradiva</w:t>
      </w:r>
      <w:bookmarkEnd w:id="108"/>
    </w:p>
    <w:p w14:paraId="6B249FF6" w14:textId="58AC7CB9" w:rsidR="006327DC" w:rsidRPr="002E5315" w:rsidRDefault="006327DC" w:rsidP="006327DC">
      <w:pPr>
        <w:rPr>
          <w:rFonts w:eastAsia="SimSun"/>
          <w:szCs w:val="23"/>
          <w:lang w:eastAsia="zh-CN"/>
        </w:rPr>
      </w:pPr>
      <w:r w:rsidRPr="002E5315">
        <w:rPr>
          <w:rFonts w:eastAsia="SimSun"/>
          <w:szCs w:val="23"/>
          <w:lang w:eastAsia="zh-CN"/>
        </w:rPr>
        <w:t>Povjerenik ima ulogu drugostupanjskog tijela u postupku odobravanja pristupa gradivu koje nije javno dostupno u smislu Zakona o arhivskom gradivu i arhivima</w:t>
      </w:r>
      <w:r w:rsidRPr="002E5315">
        <w:rPr>
          <w:szCs w:val="23"/>
        </w:rPr>
        <w:t xml:space="preserve"> </w:t>
      </w:r>
      <w:r w:rsidRPr="002E5315">
        <w:rPr>
          <w:rFonts w:eastAsia="SimSun"/>
          <w:szCs w:val="23"/>
          <w:lang w:eastAsia="zh-CN"/>
        </w:rPr>
        <w:t xml:space="preserve">(NN 61/18 i 98/19). O zahtjevu za pristup javnom arhivskom gradivu državni arhiv i arhiv </w:t>
      </w:r>
      <w:r w:rsidR="00B72201">
        <w:rPr>
          <w:rFonts w:eastAsia="SimSun"/>
          <w:szCs w:val="23"/>
          <w:lang w:eastAsia="zh-CN"/>
        </w:rPr>
        <w:t>JLP(R)S</w:t>
      </w:r>
      <w:r w:rsidRPr="002E5315">
        <w:rPr>
          <w:rFonts w:eastAsia="SimSun"/>
          <w:szCs w:val="23"/>
          <w:lang w:eastAsia="zh-CN"/>
        </w:rPr>
        <w:t xml:space="preserve"> dužni su odlučiti rješenjem, vodeći računa o žurnosti zahtjeva i o tome da rok za postupanje ne može biti dulji od rokova koji su utvrđeni zakonom kojim se uređuje pravo na pristup informacijama.</w:t>
      </w:r>
    </w:p>
    <w:p w14:paraId="7719806C" w14:textId="77777777" w:rsidR="006327DC" w:rsidRPr="002E5315" w:rsidRDefault="006327DC" w:rsidP="006327DC">
      <w:pPr>
        <w:rPr>
          <w:rFonts w:eastAsia="SimSun"/>
          <w:szCs w:val="23"/>
          <w:lang w:eastAsia="zh-CN"/>
        </w:rPr>
      </w:pPr>
      <w:r w:rsidRPr="002E5315">
        <w:rPr>
          <w:rFonts w:eastAsia="SimSun"/>
          <w:szCs w:val="23"/>
          <w:lang w:eastAsia="zh-CN"/>
        </w:rPr>
        <w:t>Korisnik koji traži gradivo ili podatke koji nisu u smislu Zakona arhivskom gradivu i arhivima javno dostupni, u zahtjevu za pristup gradivu treba navesti razloge koji su nužni za utvrđivanje njegova prava na pristup gradivu.</w:t>
      </w:r>
    </w:p>
    <w:p w14:paraId="21588DFC" w14:textId="2860AA58" w:rsidR="0085052B" w:rsidRPr="002E5315" w:rsidRDefault="006327DC" w:rsidP="006327DC">
      <w:pPr>
        <w:shd w:val="clear" w:color="auto" w:fill="FFFFFF"/>
        <w:rPr>
          <w:rFonts w:eastAsia="SimSun" w:cs="Segoe UI"/>
          <w:szCs w:val="23"/>
          <w:lang w:eastAsia="zh-CN"/>
        </w:rPr>
      </w:pPr>
      <w:r w:rsidRPr="002E5315">
        <w:rPr>
          <w:rFonts w:eastAsia="SimSun" w:cs="Segoe UI"/>
          <w:szCs w:val="23"/>
          <w:lang w:eastAsia="zh-CN"/>
        </w:rPr>
        <w:t>Povjerenik tijekom 2019. nije imao niti jednu žalbu koja se odnosila na dostupnost arhivskog gradiva</w:t>
      </w:r>
      <w:r w:rsidR="0085052B" w:rsidRPr="002E5315">
        <w:rPr>
          <w:rFonts w:eastAsia="SimSun" w:cs="Segoe UI"/>
          <w:szCs w:val="23"/>
          <w:lang w:eastAsia="zh-CN"/>
        </w:rPr>
        <w:t>.</w:t>
      </w:r>
    </w:p>
    <w:p w14:paraId="5D4BC6CD" w14:textId="47A059C0" w:rsidR="0085052B" w:rsidRPr="002E5315" w:rsidRDefault="00754B2D" w:rsidP="00E1444E">
      <w:pPr>
        <w:pStyle w:val="Naslov1"/>
        <w:rPr>
          <w:lang w:eastAsia="en-US"/>
        </w:rPr>
      </w:pPr>
      <w:r w:rsidRPr="002E5315">
        <w:rPr>
          <w:lang w:eastAsia="en-US"/>
        </w:rPr>
        <w:t xml:space="preserve"> </w:t>
      </w:r>
      <w:bookmarkStart w:id="109" w:name="_Toc36308999"/>
      <w:r w:rsidR="006327DC" w:rsidRPr="002E5315">
        <w:rPr>
          <w:lang w:eastAsia="en-US"/>
        </w:rPr>
        <w:t>Digitalna p</w:t>
      </w:r>
      <w:r w:rsidR="0085052B" w:rsidRPr="002E5315">
        <w:rPr>
          <w:lang w:eastAsia="en-US"/>
        </w:rPr>
        <w:t>ristupačnost</w:t>
      </w:r>
      <w:bookmarkEnd w:id="109"/>
    </w:p>
    <w:p w14:paraId="59DDE0DD" w14:textId="631F36CC" w:rsidR="00F713A4" w:rsidRPr="002E5315" w:rsidRDefault="00F713A4" w:rsidP="00F713A4">
      <w:pPr>
        <w:rPr>
          <w:rFonts w:eastAsiaTheme="minorHAnsi" w:cstheme="minorBidi"/>
          <w:szCs w:val="23"/>
          <w:lang w:eastAsia="en-US"/>
        </w:rPr>
      </w:pPr>
      <w:r w:rsidRPr="002E5315">
        <w:rPr>
          <w:rFonts w:eastAsiaTheme="minorHAnsi" w:cstheme="minorBidi"/>
          <w:szCs w:val="23"/>
          <w:lang w:eastAsia="en-US"/>
        </w:rPr>
        <w:t>Republika Hrvatska, kao potpisnica konvencija i standarda u području socijalne i ekonomske sigurnosti građana, preuzela je obvezu zaštite i promicanja ljudskih prava osoba s invaliditetom s ciljem njihovog ravnopravnog sudjelovanja u građanskim, ekonomskim, političkim, kulturnim i društvenim područjima života.</w:t>
      </w:r>
    </w:p>
    <w:p w14:paraId="300873C6" w14:textId="77777777" w:rsidR="00F713A4" w:rsidRPr="002E5315" w:rsidRDefault="00F713A4" w:rsidP="00F713A4">
      <w:pPr>
        <w:rPr>
          <w:rFonts w:eastAsiaTheme="minorHAnsi" w:cstheme="minorBidi"/>
          <w:szCs w:val="23"/>
          <w:lang w:eastAsia="en-US"/>
        </w:rPr>
      </w:pPr>
      <w:r w:rsidRPr="002E5315">
        <w:rPr>
          <w:rFonts w:eastAsiaTheme="minorHAnsi" w:cstheme="minorBidi"/>
          <w:szCs w:val="23"/>
          <w:lang w:eastAsia="en-US"/>
        </w:rPr>
        <w:t>U kontekstu Direktive (EU) 2016/2102, pristupačnost podrazumijeva načela i tehnike koje trebaju poštovati tijela javnog sektora pri dizajnu, izradi, održavanju i ažuriranju mrežnih stranica i mobilnih aplikacija, kako bi omogućile istu dostupnost i iste mogućnosti svim korisnicima, osobito osobama s invaliditetom, ali i starijim osobama.</w:t>
      </w:r>
    </w:p>
    <w:p w14:paraId="4F4E4593" w14:textId="77777777" w:rsidR="00F713A4" w:rsidRPr="002E5315" w:rsidRDefault="00F713A4" w:rsidP="00F713A4">
      <w:pPr>
        <w:rPr>
          <w:rFonts w:eastAsiaTheme="minorHAnsi" w:cstheme="minorBidi"/>
          <w:szCs w:val="23"/>
          <w:lang w:eastAsia="en-US"/>
        </w:rPr>
      </w:pPr>
      <w:r w:rsidRPr="002E5315">
        <w:rPr>
          <w:rFonts w:eastAsiaTheme="minorHAnsi" w:cstheme="minorBidi"/>
          <w:szCs w:val="23"/>
          <w:lang w:eastAsia="en-US"/>
        </w:rPr>
        <w:t xml:space="preserve">U svrhu usklađivanja s Direktivom (EU) 2016/2102, Hrvatski sabor je 2018. usvojio </w:t>
      </w:r>
      <w:r w:rsidRPr="002E5315">
        <w:rPr>
          <w:rFonts w:eastAsiaTheme="minorHAnsi" w:cstheme="minorBidi"/>
          <w:b/>
          <w:bCs/>
          <w:szCs w:val="23"/>
          <w:lang w:eastAsia="en-US"/>
        </w:rPr>
        <w:t>Zakon o pristupačnosti mrežnih stranica i programskih rješenja za pokretne uređaje tijela javnog sektora (NN 17/19), koji je stupio na snagu 23. rujna 2019.</w:t>
      </w:r>
      <w:r w:rsidRPr="002E5315">
        <w:rPr>
          <w:rFonts w:eastAsiaTheme="minorHAnsi" w:cstheme="minorBidi"/>
          <w:szCs w:val="23"/>
          <w:lang w:eastAsia="en-US"/>
        </w:rPr>
        <w:t xml:space="preserve"> Zakonom se regulira primjena zahtjeva pristupačnosti kroz četiri načela:</w:t>
      </w:r>
    </w:p>
    <w:p w14:paraId="08CFFFA8" w14:textId="77777777" w:rsidR="00F713A4" w:rsidRPr="002E5315" w:rsidRDefault="00F713A4" w:rsidP="000114BF">
      <w:pPr>
        <w:numPr>
          <w:ilvl w:val="0"/>
          <w:numId w:val="18"/>
        </w:numPr>
        <w:spacing w:line="259" w:lineRule="auto"/>
        <w:contextualSpacing/>
        <w:rPr>
          <w:rFonts w:eastAsiaTheme="minorHAnsi" w:cstheme="minorBidi"/>
          <w:szCs w:val="23"/>
          <w:lang w:eastAsia="en-US"/>
        </w:rPr>
      </w:pPr>
      <w:r w:rsidRPr="002E5315">
        <w:rPr>
          <w:rFonts w:eastAsiaTheme="minorHAnsi" w:cstheme="minorBidi"/>
          <w:szCs w:val="23"/>
          <w:lang w:eastAsia="en-US"/>
        </w:rPr>
        <w:t>mogućnost opažanja (informacije i sastavni dijelovi korisničkog sučelja moraju biti predstavljeni korisnicima tako da ih mogu percipirati);</w:t>
      </w:r>
    </w:p>
    <w:p w14:paraId="2E8F8F0C" w14:textId="77777777" w:rsidR="00F713A4" w:rsidRPr="002E5315" w:rsidRDefault="00F713A4" w:rsidP="000114BF">
      <w:pPr>
        <w:numPr>
          <w:ilvl w:val="0"/>
          <w:numId w:val="18"/>
        </w:numPr>
        <w:spacing w:line="259" w:lineRule="auto"/>
        <w:contextualSpacing/>
        <w:rPr>
          <w:rFonts w:eastAsiaTheme="minorHAnsi" w:cstheme="minorBidi"/>
          <w:szCs w:val="23"/>
          <w:lang w:eastAsia="en-US"/>
        </w:rPr>
      </w:pPr>
      <w:r w:rsidRPr="002E5315">
        <w:rPr>
          <w:rFonts w:eastAsiaTheme="minorHAnsi" w:cstheme="minorBidi"/>
          <w:szCs w:val="23"/>
          <w:lang w:eastAsia="en-US"/>
        </w:rPr>
        <w:t>operabilnost (sastavnim dijelovima korisničkog sučelja i navigacije mora se moći upravljati);</w:t>
      </w:r>
    </w:p>
    <w:p w14:paraId="546F8FFB" w14:textId="77777777" w:rsidR="00F713A4" w:rsidRPr="002E5315" w:rsidRDefault="00F713A4" w:rsidP="000114BF">
      <w:pPr>
        <w:numPr>
          <w:ilvl w:val="0"/>
          <w:numId w:val="18"/>
        </w:numPr>
        <w:spacing w:line="259" w:lineRule="auto"/>
        <w:contextualSpacing/>
        <w:rPr>
          <w:rFonts w:eastAsiaTheme="minorHAnsi" w:cstheme="minorBidi"/>
          <w:szCs w:val="23"/>
          <w:lang w:eastAsia="en-US"/>
        </w:rPr>
      </w:pPr>
      <w:r w:rsidRPr="002E5315">
        <w:rPr>
          <w:rFonts w:eastAsiaTheme="minorHAnsi" w:cstheme="minorBidi"/>
          <w:szCs w:val="23"/>
          <w:lang w:eastAsia="en-US"/>
        </w:rPr>
        <w:t>razumljivost (informacije i način rada korisničkog sučelja moraju biti razumljivi);</w:t>
      </w:r>
    </w:p>
    <w:p w14:paraId="56F37B1B" w14:textId="77777777" w:rsidR="00F713A4" w:rsidRPr="002E5315" w:rsidRDefault="00F713A4" w:rsidP="000114BF">
      <w:pPr>
        <w:numPr>
          <w:ilvl w:val="0"/>
          <w:numId w:val="18"/>
        </w:numPr>
        <w:spacing w:line="259" w:lineRule="auto"/>
        <w:contextualSpacing/>
        <w:rPr>
          <w:rFonts w:eastAsiaTheme="minorHAnsi" w:cstheme="minorBidi"/>
          <w:szCs w:val="23"/>
          <w:lang w:eastAsia="en-US"/>
        </w:rPr>
      </w:pPr>
      <w:r w:rsidRPr="002E5315">
        <w:rPr>
          <w:rFonts w:eastAsiaTheme="minorHAnsi" w:cstheme="minorBidi"/>
          <w:szCs w:val="23"/>
          <w:lang w:eastAsia="en-US"/>
        </w:rPr>
        <w:t>stabilnost (sadržaji moraju biti dovoljno stabilni da ih može pouzdano tumačiti širok raspon korisničkih agenata, uključujući pomoćne tehnologije).</w:t>
      </w:r>
    </w:p>
    <w:p w14:paraId="55C69C5D" w14:textId="77777777" w:rsidR="00F713A4" w:rsidRPr="002E5315" w:rsidRDefault="00F713A4" w:rsidP="00E368EA">
      <w:pPr>
        <w:spacing w:line="259" w:lineRule="auto"/>
        <w:ind w:left="720"/>
        <w:contextualSpacing/>
        <w:rPr>
          <w:rFonts w:eastAsiaTheme="minorHAnsi" w:cstheme="minorBidi"/>
          <w:szCs w:val="23"/>
          <w:lang w:eastAsia="en-US"/>
        </w:rPr>
      </w:pPr>
    </w:p>
    <w:p w14:paraId="3F6988A8" w14:textId="77777777" w:rsidR="00F713A4" w:rsidRPr="002E5315" w:rsidRDefault="00F713A4" w:rsidP="00F713A4">
      <w:pPr>
        <w:spacing w:line="259" w:lineRule="auto"/>
        <w:rPr>
          <w:rFonts w:eastAsiaTheme="minorHAnsi" w:cstheme="minorBidi"/>
          <w:szCs w:val="23"/>
          <w:lang w:eastAsia="en-US"/>
        </w:rPr>
      </w:pPr>
      <w:r w:rsidRPr="002E5315">
        <w:rPr>
          <w:rFonts w:eastAsiaTheme="minorHAnsi" w:cstheme="minorBidi"/>
          <w:szCs w:val="23"/>
          <w:lang w:eastAsia="en-US"/>
        </w:rPr>
        <w:t>Obveznici primjene Zakona su tijela državne uprave i druga državna tijela, JLP(R)S, tijela javnog prava kako su definirana zakonom kojim se uređuje javna nabava te udruženja koje su osnovala navedena tijela, ako su takva udruženja uspostavljena u posebnu svrhu zadovoljavanja potreba od općeg interesa i nemaju industrijski ili trgovački značaj.</w:t>
      </w:r>
    </w:p>
    <w:p w14:paraId="4EAC6BF3" w14:textId="77777777" w:rsidR="00F713A4" w:rsidRPr="002E5315" w:rsidRDefault="00F713A4" w:rsidP="00F713A4">
      <w:pPr>
        <w:spacing w:line="259" w:lineRule="auto"/>
        <w:rPr>
          <w:rFonts w:eastAsiaTheme="minorHAnsi" w:cstheme="minorBidi"/>
          <w:szCs w:val="23"/>
          <w:lang w:eastAsia="en-US"/>
        </w:rPr>
      </w:pPr>
      <w:r w:rsidRPr="002E5315">
        <w:rPr>
          <w:rFonts w:eastAsiaTheme="minorHAnsi" w:cstheme="minorBidi"/>
          <w:szCs w:val="23"/>
          <w:lang w:eastAsia="en-US"/>
        </w:rPr>
        <w:t>Tijela javnog sektora koja u trenutku stupanja na snagu Zakona imaju mrežne stranice objavljene prije 23. rujna 2018. dužna su ih uskladiti s odredbama Zakona najkasnije do 23. rujna 2020., a rok koji je Zakonom određen za usklađivanje programskih rješenja za pokretne uređaje je 23. rujna 2021.</w:t>
      </w:r>
    </w:p>
    <w:p w14:paraId="47B617BA" w14:textId="77777777" w:rsidR="00F713A4" w:rsidRPr="002E5315" w:rsidRDefault="00F713A4" w:rsidP="00F713A4">
      <w:pPr>
        <w:spacing w:line="259" w:lineRule="auto"/>
        <w:rPr>
          <w:rFonts w:eastAsiaTheme="minorHAnsi" w:cstheme="minorBidi"/>
          <w:szCs w:val="23"/>
          <w:lang w:eastAsia="en-US"/>
        </w:rPr>
      </w:pPr>
      <w:r w:rsidRPr="002E5315">
        <w:rPr>
          <w:rFonts w:eastAsiaTheme="minorHAnsi" w:cstheme="minorBidi"/>
          <w:szCs w:val="23"/>
          <w:lang w:eastAsia="en-US"/>
        </w:rPr>
        <w:t>Povjerenik je nadležan za praćenje usklađenosti mrežnih stranica i programskih rješenja za pokretne uređaje tijela javnog sektora sa zahtjevima pristupačnosti i nadzor nad provedbom navedenog Zakona, kao i za sudjelovanje u provedbi mjera i aktivnosti osposobljavanja i promicanja te praćenja usklađenosti mrežnih stranica i prikupljanja podataka za potrebe izvješćivanja Europske komisije, za što je zadužen SDURDD.</w:t>
      </w:r>
    </w:p>
    <w:p w14:paraId="121082FE" w14:textId="2FB91B3B" w:rsidR="00E1444E" w:rsidRPr="002E5315" w:rsidRDefault="00F713A4" w:rsidP="00F713A4">
      <w:pPr>
        <w:spacing w:line="259" w:lineRule="auto"/>
        <w:rPr>
          <w:rFonts w:eastAsiaTheme="minorHAnsi" w:cstheme="minorBidi"/>
          <w:szCs w:val="23"/>
          <w:lang w:eastAsia="en-US"/>
        </w:rPr>
      </w:pPr>
      <w:r w:rsidRPr="002E5315">
        <w:rPr>
          <w:rFonts w:eastAsiaTheme="minorHAnsi" w:cstheme="minorBidi"/>
          <w:szCs w:val="23"/>
          <w:lang w:eastAsia="en-US"/>
        </w:rPr>
        <w:t>U okviru zakonom dodijeljenih nadležnosti, Povjerenik je u 2019. suradnji sa SDURDD-om i krovnim udrugama osoba s invaliditetom sudjelovao u promotivnim aktivnostima usmjerenim na upoznavanje javnosti s ciljem i sadržajem Zakona o pristupačnosti mrežnih stranica i programskih rješenja za pokretne uređaje tijela javnog sektora (22. rujna – pokretanje kampanje za digitalnu pristupačnost; 15. listopada</w:t>
      </w:r>
      <w:r w:rsidRPr="002E5315">
        <w:rPr>
          <w:rFonts w:eastAsiaTheme="minorHAnsi" w:cstheme="minorBidi"/>
          <w:color w:val="FF0000"/>
          <w:szCs w:val="23"/>
          <w:lang w:eastAsia="en-US"/>
        </w:rPr>
        <w:t xml:space="preserve"> </w:t>
      </w:r>
      <w:r w:rsidRPr="002E5315">
        <w:rPr>
          <w:rFonts w:eastAsiaTheme="minorHAnsi" w:cstheme="minorBidi"/>
          <w:szCs w:val="23"/>
          <w:lang w:eastAsia="en-US"/>
        </w:rPr>
        <w:t>– predstavljanje kampanje u okviru obilježavanja Međunarodnog dana bijelog štapa). Osim toga, u suradnji sa SDURDD-om, DŠJU, Savezom udruga osoba s invaliditetom i Hrvatskim savezom slijepih te uz stručnu pomoć FER-a i CARNET-a, započela je priprema programa edukacije o digitalnoj pristupačnosti za tijela javnog sektora, s čijom se provedbom započelo u prvom kvartalu 2020</w:t>
      </w:r>
      <w:r w:rsidR="0085052B" w:rsidRPr="002E5315">
        <w:rPr>
          <w:rFonts w:eastAsiaTheme="minorHAnsi" w:cstheme="minorBidi"/>
          <w:szCs w:val="23"/>
          <w:lang w:eastAsia="en-US"/>
        </w:rPr>
        <w:t>.</w:t>
      </w:r>
    </w:p>
    <w:p w14:paraId="2007DC61" w14:textId="3ADED9AA" w:rsidR="0085052B" w:rsidRPr="002E5315" w:rsidRDefault="00E1444E" w:rsidP="00E1444E">
      <w:pPr>
        <w:rPr>
          <w:rFonts w:eastAsiaTheme="minorHAnsi" w:cstheme="minorBidi"/>
          <w:szCs w:val="23"/>
          <w:lang w:eastAsia="en-US"/>
        </w:rPr>
      </w:pPr>
      <w:r w:rsidRPr="002E5315">
        <w:rPr>
          <w:rFonts w:eastAsiaTheme="minorHAnsi" w:cstheme="minorBidi"/>
          <w:szCs w:val="23"/>
          <w:lang w:eastAsia="en-US"/>
        </w:rPr>
        <w:br w:type="page"/>
      </w:r>
    </w:p>
    <w:p w14:paraId="61882B6A" w14:textId="2FF55903" w:rsidR="0085052B" w:rsidRPr="002E5315" w:rsidRDefault="0085052B" w:rsidP="007A4CB9">
      <w:pPr>
        <w:pStyle w:val="Naslov1"/>
        <w:numPr>
          <w:ilvl w:val="0"/>
          <w:numId w:val="0"/>
        </w:numPr>
      </w:pPr>
      <w:bookmarkStart w:id="110" w:name="_Toc36309000"/>
      <w:r w:rsidRPr="002E5315">
        <w:t xml:space="preserve">D) </w:t>
      </w:r>
      <w:r w:rsidR="007A4CB9" w:rsidRPr="002E5315">
        <w:t>URED POVJERENIKA</w:t>
      </w:r>
      <w:bookmarkEnd w:id="110"/>
    </w:p>
    <w:p w14:paraId="3FF65FEB" w14:textId="1CCED1B6" w:rsidR="0085052B" w:rsidRPr="002E5315" w:rsidRDefault="00754B2D" w:rsidP="00E1444E">
      <w:pPr>
        <w:pStyle w:val="Naslov1"/>
      </w:pPr>
      <w:bookmarkStart w:id="111" w:name="_Toc4677893"/>
      <w:r w:rsidRPr="002E5315">
        <w:t xml:space="preserve"> </w:t>
      </w:r>
      <w:bookmarkStart w:id="112" w:name="_Toc36309001"/>
      <w:r w:rsidR="0085052B" w:rsidRPr="002E5315">
        <w:t>Službenici Ureda povjerenika</w:t>
      </w:r>
      <w:bookmarkEnd w:id="111"/>
      <w:bookmarkEnd w:id="112"/>
    </w:p>
    <w:p w14:paraId="445962EC" w14:textId="77777777" w:rsidR="00491789" w:rsidRPr="002E5315" w:rsidRDefault="00491789" w:rsidP="00491789">
      <w:pPr>
        <w:rPr>
          <w:rFonts w:cs="Arial"/>
          <w:szCs w:val="23"/>
        </w:rPr>
      </w:pPr>
      <w:r w:rsidRPr="002E5315">
        <w:rPr>
          <w:szCs w:val="23"/>
        </w:rPr>
        <w:t xml:space="preserve">Povjerenik ima Ured povjerenika kao stručnu službu. </w:t>
      </w:r>
      <w:r w:rsidRPr="002E5315">
        <w:rPr>
          <w:rFonts w:cs="Arial"/>
          <w:szCs w:val="23"/>
        </w:rPr>
        <w:t>U Uredu povjerenika su ustrojene 3 službe za pojedina područja rada i sistematizirano je 16 radnih mjesta s ukupno 23 izvršitelja.</w:t>
      </w:r>
    </w:p>
    <w:p w14:paraId="3434CD74" w14:textId="77777777" w:rsidR="00491789" w:rsidRPr="002E5315" w:rsidRDefault="00491789" w:rsidP="00491789">
      <w:pPr>
        <w:rPr>
          <w:rFonts w:cs="Arial"/>
          <w:szCs w:val="23"/>
        </w:rPr>
      </w:pPr>
      <w:r w:rsidRPr="002E5315">
        <w:rPr>
          <w:rFonts w:cs="Arial"/>
          <w:szCs w:val="23"/>
        </w:rPr>
        <w:t xml:space="preserve">Stručne poslove u Uredu povjerenika obavljaju državni službenici. Na dan 31. prosinca 2019., uz povjerenika kao državnog dužnosnika, bilo je zaposleno 17 državnih službenika (73,91% od ukupnog broja predviđenih izvršitelja), i to: </w:t>
      </w:r>
    </w:p>
    <w:p w14:paraId="68BAAD2F" w14:textId="77777777" w:rsidR="00491789" w:rsidRPr="002E5315" w:rsidRDefault="00491789" w:rsidP="000114BF">
      <w:pPr>
        <w:pStyle w:val="Odlomakpopisa"/>
        <w:numPr>
          <w:ilvl w:val="0"/>
          <w:numId w:val="24"/>
        </w:numPr>
        <w:rPr>
          <w:rFonts w:ascii="Gill Sans MT" w:hAnsi="Gill Sans MT"/>
          <w:sz w:val="23"/>
          <w:szCs w:val="23"/>
        </w:rPr>
      </w:pPr>
      <w:r w:rsidRPr="002E5315">
        <w:rPr>
          <w:rFonts w:ascii="Gill Sans MT" w:hAnsi="Gill Sans MT"/>
          <w:sz w:val="23"/>
          <w:szCs w:val="23"/>
        </w:rPr>
        <w:t>9 u Službi za zaštitu prava na pristup informacijama - voditeljica službe, 5 savjetnika povjerenika, 2 savjetnika-inspektora, 1 viša savjetnica-specijalistica</w:t>
      </w:r>
    </w:p>
    <w:p w14:paraId="5C92E04E" w14:textId="77777777" w:rsidR="00491789" w:rsidRPr="002E5315" w:rsidRDefault="00491789" w:rsidP="000114BF">
      <w:pPr>
        <w:pStyle w:val="Odlomakpopisa"/>
        <w:numPr>
          <w:ilvl w:val="0"/>
          <w:numId w:val="23"/>
        </w:numPr>
        <w:rPr>
          <w:rFonts w:ascii="Gill Sans MT" w:hAnsi="Gill Sans MT" w:cs="Arial"/>
          <w:sz w:val="23"/>
          <w:szCs w:val="23"/>
        </w:rPr>
      </w:pPr>
      <w:r w:rsidRPr="002E5315">
        <w:rPr>
          <w:rFonts w:ascii="Gill Sans MT" w:hAnsi="Gill Sans MT" w:cs="Arial"/>
          <w:sz w:val="23"/>
          <w:szCs w:val="23"/>
        </w:rPr>
        <w:t>6 u Službi za praćenje i promicanje prava na pristup informacijama - voditeljica službe, 2 savjetnika povjerenika, 1 viša savjetnica-specijalistica, 1 stručna suradnica, 1 viša stručna referentica</w:t>
      </w:r>
    </w:p>
    <w:p w14:paraId="09B3F053" w14:textId="77777777" w:rsidR="00491789" w:rsidRPr="002E5315" w:rsidRDefault="00491789" w:rsidP="000114BF">
      <w:pPr>
        <w:pStyle w:val="Odlomakpopisa"/>
        <w:numPr>
          <w:ilvl w:val="0"/>
          <w:numId w:val="22"/>
        </w:numPr>
        <w:rPr>
          <w:rFonts w:ascii="Gill Sans MT" w:hAnsi="Gill Sans MT" w:cs="Arial"/>
          <w:sz w:val="23"/>
          <w:szCs w:val="23"/>
        </w:rPr>
      </w:pPr>
      <w:r w:rsidRPr="002E5315">
        <w:rPr>
          <w:rFonts w:ascii="Gill Sans MT" w:hAnsi="Gill Sans MT" w:cs="Arial"/>
          <w:sz w:val="23"/>
          <w:szCs w:val="23"/>
        </w:rPr>
        <w:t>2 u Službi za opće poslove - 1 stručna savjetnica i 1 viša upravna referentica.</w:t>
      </w:r>
    </w:p>
    <w:p w14:paraId="5717476A" w14:textId="3F862BBE" w:rsidR="00491789" w:rsidRPr="002E5315" w:rsidRDefault="00491789" w:rsidP="00491789">
      <w:pPr>
        <w:rPr>
          <w:rFonts w:cs="Arial"/>
          <w:szCs w:val="23"/>
        </w:rPr>
      </w:pPr>
      <w:r w:rsidRPr="002E5315">
        <w:rPr>
          <w:rFonts w:cs="Arial"/>
          <w:szCs w:val="23"/>
        </w:rPr>
        <w:t>Od popunjenih 17 radnih mjesta, tijekom 2019. dvjema osobama je služba započela u prosincu 2019., a za dvije osobe koje su na porodiljnom dopustu osigurane su zamjene.</w:t>
      </w:r>
    </w:p>
    <w:p w14:paraId="331B8E3E" w14:textId="77777777" w:rsidR="00491789" w:rsidRPr="002E5315" w:rsidRDefault="00491789" w:rsidP="00491789">
      <w:pPr>
        <w:rPr>
          <w:rFonts w:cs="Arial"/>
          <w:szCs w:val="23"/>
        </w:rPr>
      </w:pPr>
      <w:r w:rsidRPr="002E5315">
        <w:rPr>
          <w:rFonts w:cs="Arial"/>
          <w:szCs w:val="23"/>
        </w:rPr>
        <w:t>Računovodstveno-financijski poslovi te poslovi održavanja informatičkog sustava povjereni su i 2019. vanjskim pružateljima usluga. Za pojedine aktivnosti privremeno su angažirani vanjski suradnici ugovorom o djelu.</w:t>
      </w:r>
    </w:p>
    <w:p w14:paraId="432CA71B" w14:textId="1948E6A0" w:rsidR="00491789" w:rsidRPr="002E5315" w:rsidRDefault="00491789" w:rsidP="00491789">
      <w:pPr>
        <w:rPr>
          <w:rFonts w:cs="Arial"/>
          <w:szCs w:val="23"/>
        </w:rPr>
      </w:pPr>
      <w:r w:rsidRPr="002E5315">
        <w:rPr>
          <w:rFonts w:cs="Arial"/>
          <w:szCs w:val="23"/>
        </w:rPr>
        <w:t>Tijekom 2019. u Uredu povjerenika za informiranje je jedna osoba do srpnja 2019. bila na stručnom osposobljavanju bez zasnivanja radnog odnosa.</w:t>
      </w:r>
    </w:p>
    <w:p w14:paraId="2E6B5A08" w14:textId="1CC4505C" w:rsidR="0085052B" w:rsidRPr="002E5315" w:rsidRDefault="00491789" w:rsidP="00491789">
      <w:pPr>
        <w:rPr>
          <w:rFonts w:cs="Arial"/>
          <w:szCs w:val="23"/>
        </w:rPr>
      </w:pPr>
      <w:r w:rsidRPr="002E5315">
        <w:rPr>
          <w:rFonts w:cs="Arial"/>
          <w:szCs w:val="23"/>
        </w:rPr>
        <w:t>U skladu sa zakonskim obvezama i potrebama Ureda povjerenika, financijskim sredstvima te vlastitom inicijativom, službenici su kontinuirano poticani na edukaciju i usavršavanje</w:t>
      </w:r>
      <w:r w:rsidR="0085052B" w:rsidRPr="002E5315">
        <w:rPr>
          <w:rFonts w:cs="Arial"/>
          <w:szCs w:val="23"/>
        </w:rPr>
        <w:t>.</w:t>
      </w:r>
    </w:p>
    <w:p w14:paraId="6769A0C6" w14:textId="0B8E990B" w:rsidR="0085052B" w:rsidRPr="002E5315" w:rsidRDefault="0085052B" w:rsidP="00E1444E">
      <w:pPr>
        <w:pStyle w:val="Naslov1"/>
      </w:pPr>
      <w:bookmarkStart w:id="113" w:name="_Toc4677894"/>
      <w:bookmarkStart w:id="114" w:name="_Toc36309002"/>
      <w:r w:rsidRPr="002E5315">
        <w:t>Financiranje Ureda povjerenika</w:t>
      </w:r>
      <w:bookmarkEnd w:id="113"/>
      <w:bookmarkEnd w:id="114"/>
    </w:p>
    <w:p w14:paraId="5DEF6EF8" w14:textId="324B90CC" w:rsidR="005B57AD" w:rsidRPr="002E5315" w:rsidRDefault="005B57AD" w:rsidP="005B57AD">
      <w:pPr>
        <w:rPr>
          <w:rFonts w:cs="Arial"/>
          <w:szCs w:val="23"/>
        </w:rPr>
      </w:pPr>
      <w:r w:rsidRPr="002E5315">
        <w:rPr>
          <w:rFonts w:cs="Arial"/>
          <w:szCs w:val="23"/>
        </w:rPr>
        <w:t xml:space="preserve">Sredstva osigurana u državnom proračunu na Izvoru 11 tijekom 2019., koja uključuju financiranje aktivnosti na stavkama A874001 Administracija i upravljanje u iznosu 3.893.000,00 kn, A874006 Promicanje prava na pristup informacijama u iznosu 141.000,00 kn te K874004 Informatizacija u iznosu 57.000,00 kn, </w:t>
      </w:r>
      <w:r w:rsidRPr="002E5315">
        <w:rPr>
          <w:rFonts w:cs="Arial"/>
          <w:bCs/>
          <w:szCs w:val="23"/>
        </w:rPr>
        <w:t>iznosila su ukupno 4.091.000,00</w:t>
      </w:r>
      <w:r w:rsidRPr="002E5315">
        <w:rPr>
          <w:rFonts w:cs="Arial"/>
          <w:szCs w:val="23"/>
        </w:rPr>
        <w:t xml:space="preserve">, dok su 2018. na tim stavkama bila osigurana sredstva u iznosu od ukupno </w:t>
      </w:r>
      <w:r w:rsidRPr="002E5315">
        <w:rPr>
          <w:szCs w:val="23"/>
        </w:rPr>
        <w:t xml:space="preserve">3.475.000,00 </w:t>
      </w:r>
      <w:r w:rsidRPr="002E5315">
        <w:rPr>
          <w:rFonts w:cs="Arial"/>
          <w:szCs w:val="23"/>
        </w:rPr>
        <w:t>kn, što predstavlja povećanje za 17,72%.</w:t>
      </w:r>
    </w:p>
    <w:p w14:paraId="4580F583" w14:textId="17FE9E81" w:rsidR="005B57AD" w:rsidRPr="002E5315" w:rsidRDefault="005B57AD" w:rsidP="005B57AD">
      <w:pPr>
        <w:rPr>
          <w:rFonts w:cs="Arial"/>
          <w:szCs w:val="23"/>
        </w:rPr>
      </w:pPr>
      <w:r w:rsidRPr="002E5315">
        <w:rPr>
          <w:rFonts w:cs="Arial"/>
          <w:szCs w:val="23"/>
        </w:rPr>
        <w:t xml:space="preserve">Povjereniku su bila na raspolaganju </w:t>
      </w:r>
      <w:r w:rsidRPr="002E5315">
        <w:rPr>
          <w:rFonts w:cs="Arial"/>
          <w:bCs/>
          <w:szCs w:val="23"/>
        </w:rPr>
        <w:t xml:space="preserve">i sredstva </w:t>
      </w:r>
      <w:r w:rsidRPr="002E5315">
        <w:rPr>
          <w:rFonts w:cs="Arial"/>
          <w:szCs w:val="23"/>
        </w:rPr>
        <w:t>osigurana u državnom proračunu na Izvoru 31</w:t>
      </w:r>
      <w:r w:rsidRPr="002E5315">
        <w:rPr>
          <w:rFonts w:cs="Arial"/>
          <w:bCs/>
          <w:szCs w:val="23"/>
        </w:rPr>
        <w:t xml:space="preserve">, na stavkama </w:t>
      </w:r>
      <w:r w:rsidRPr="002E5315">
        <w:rPr>
          <w:rFonts w:cs="Arial"/>
          <w:szCs w:val="23"/>
        </w:rPr>
        <w:t xml:space="preserve">T874008 za projekt IPA 2017 Twinning Light projekt u Crnoj Gori "Jačanje kapaciteta Agencije za zaštitu ličnih podataka i slobodan pristup informacijama", za koji su tijekom 2019. doznačena u </w:t>
      </w:r>
      <w:r w:rsidRPr="002E5315">
        <w:rPr>
          <w:rFonts w:cs="Arial"/>
          <w:bCs/>
          <w:szCs w:val="23"/>
        </w:rPr>
        <w:t>iznosu od 269.459,44 kn</w:t>
      </w:r>
      <w:r w:rsidRPr="002E5315">
        <w:rPr>
          <w:rFonts w:cs="Arial"/>
          <w:szCs w:val="23"/>
        </w:rPr>
        <w:t> (planirano ukupno 269.500,00).</w:t>
      </w:r>
    </w:p>
    <w:p w14:paraId="7F577F1F" w14:textId="1E137DC7" w:rsidR="005B57AD" w:rsidRPr="002E5315" w:rsidRDefault="005B57AD" w:rsidP="005B57AD">
      <w:pPr>
        <w:rPr>
          <w:rFonts w:cs="Arial"/>
          <w:szCs w:val="23"/>
        </w:rPr>
      </w:pPr>
      <w:r w:rsidRPr="002E5315">
        <w:rPr>
          <w:rFonts w:cs="Arial"/>
          <w:szCs w:val="23"/>
        </w:rPr>
        <w:t>Na raspolaganju su bila i sredstva na Izvoru</w:t>
      </w:r>
      <w:r w:rsidRPr="002E5315">
        <w:rPr>
          <w:rFonts w:cs="Arial"/>
          <w:color w:val="FF0000"/>
          <w:szCs w:val="23"/>
        </w:rPr>
        <w:t xml:space="preserve"> </w:t>
      </w:r>
      <w:r w:rsidRPr="002E5315">
        <w:rPr>
          <w:rFonts w:cs="Arial"/>
          <w:szCs w:val="23"/>
        </w:rPr>
        <w:t>51 Pomoći EU -Tekuće pomoći od institucija i tijela EU-refundacija putnih troškova, sredstva u iznosu od 2.800,00 kn, zatim na Izvoru 52 sredstva Ostalih pomoći i donacija prenesena iz ranijih godina u iznosu od 588,08 kn te sredstva doprinosa za stručno osposobljavanje u iznosu 4.109,35 kn.</w:t>
      </w:r>
    </w:p>
    <w:p w14:paraId="5AB4D4FA" w14:textId="77777777" w:rsidR="005B57AD" w:rsidRPr="002E5315" w:rsidRDefault="005B57AD" w:rsidP="005B57AD">
      <w:pPr>
        <w:rPr>
          <w:rFonts w:cs="Arial"/>
          <w:b/>
          <w:szCs w:val="23"/>
        </w:rPr>
      </w:pPr>
      <w:r w:rsidRPr="002E5315">
        <w:rPr>
          <w:rFonts w:cs="Arial"/>
          <w:szCs w:val="23"/>
        </w:rPr>
        <w:t xml:space="preserve">Stoga je, </w:t>
      </w:r>
      <w:r w:rsidRPr="002E5315">
        <w:rPr>
          <w:rFonts w:cs="Arial"/>
          <w:b/>
          <w:szCs w:val="23"/>
        </w:rPr>
        <w:t>uključujući vlastite prihode i donacije, Povjereniku tijekom 2019. bilo na raspolaganju ukupno 4.367.997,00 kn.</w:t>
      </w:r>
    </w:p>
    <w:p w14:paraId="665B5974" w14:textId="77777777" w:rsidR="005B57AD" w:rsidRPr="002E5315" w:rsidRDefault="005B57AD" w:rsidP="005B57AD">
      <w:pPr>
        <w:rPr>
          <w:rFonts w:cs="Arial"/>
          <w:szCs w:val="23"/>
        </w:rPr>
      </w:pPr>
      <w:r w:rsidRPr="002E5315">
        <w:rPr>
          <w:rFonts w:cs="Arial"/>
          <w:szCs w:val="23"/>
        </w:rPr>
        <w:t>Financijska sredstva dodijeljena Povjereniku u 2019. su bila viša u odnosu na prethodne godine, ali i dalje nedostatna uzimajući u obzir obveze koje proizlaze iz ZPPI-ja i drugih zakona za koje je Povjerenik nadležan i potrebu za službenicima koji bi te poslove obavljali.</w:t>
      </w:r>
    </w:p>
    <w:p w14:paraId="5983A0CA" w14:textId="77777777" w:rsidR="005B57AD" w:rsidRPr="002E5315" w:rsidRDefault="005B57AD" w:rsidP="005B57AD">
      <w:pPr>
        <w:rPr>
          <w:rFonts w:cs="Arial"/>
          <w:szCs w:val="23"/>
        </w:rPr>
      </w:pPr>
      <w:r w:rsidRPr="002E5315">
        <w:rPr>
          <w:rFonts w:cs="Arial"/>
          <w:szCs w:val="23"/>
        </w:rPr>
        <w:t>U cjelini, sa svih izvora izvršeno je ukupno 3.941.361,50 kn, odnosno 90,23 % planiranih sredstava. Usporedbe radi, u 2018. utrošeno je 4.133.787,17 kn.</w:t>
      </w:r>
    </w:p>
    <w:p w14:paraId="29BC4392" w14:textId="6CCCF6A2" w:rsidR="005B57AD" w:rsidRPr="002E5315" w:rsidRDefault="005B57AD" w:rsidP="005B57AD">
      <w:pPr>
        <w:rPr>
          <w:rFonts w:cs="Arial"/>
          <w:szCs w:val="23"/>
        </w:rPr>
      </w:pPr>
      <w:r w:rsidRPr="002E5315">
        <w:rPr>
          <w:rFonts w:cs="Arial"/>
          <w:szCs w:val="23"/>
        </w:rPr>
        <w:t>Neutrošena sredstva vraćena su u ukupnom iznosu od 276.147,68 kn, dok su u 2019. prenesena sredstva u iznosu od 588,08 kn koja se odnose na donacije inozemnih Vlada te iznos od 254.724,70 kn za provedbu Twinning Light projekta "Jačanje kapaciteta Agencije za zaštitu ličnih podataka i slobodan pristup informacijama", s obzirom da su projektne aktivnosti započete u 2018. i nastavljene u 2019.</w:t>
      </w:r>
    </w:p>
    <w:p w14:paraId="59CA4349" w14:textId="59E40DC5" w:rsidR="005B57AD" w:rsidRPr="002E5315" w:rsidRDefault="005B57AD" w:rsidP="005B57AD">
      <w:pPr>
        <w:rPr>
          <w:rFonts w:cs="Arial"/>
          <w:szCs w:val="23"/>
        </w:rPr>
      </w:pPr>
      <w:bookmarkStart w:id="115" w:name="_Toc4486168"/>
      <w:r w:rsidRPr="002E5315">
        <w:rPr>
          <w:rFonts w:cs="Arial"/>
          <w:szCs w:val="23"/>
        </w:rPr>
        <w:t>Financijsko-materijalno upravljanje Uredom povjerenika nastavljeno je, kao i prethodnih godina, izrazito racionalno i pažljivo.</w:t>
      </w:r>
      <w:bookmarkEnd w:id="115"/>
    </w:p>
    <w:p w14:paraId="79A5049F" w14:textId="3F842B79" w:rsidR="0085052B" w:rsidRPr="002E5315" w:rsidRDefault="005B57AD" w:rsidP="005B57AD">
      <w:pPr>
        <w:rPr>
          <w:rFonts w:cs="Arial"/>
          <w:szCs w:val="23"/>
        </w:rPr>
      </w:pPr>
      <w:r w:rsidRPr="002E5315">
        <w:rPr>
          <w:rFonts w:cs="Arial"/>
          <w:szCs w:val="23"/>
        </w:rPr>
        <w:t>U nastavku se nalazi pregled sredstva i izvršenja tijekom 2019</w:t>
      </w:r>
      <w:r w:rsidR="0085052B" w:rsidRPr="002E5315">
        <w:rPr>
          <w:rFonts w:cs="Arial"/>
          <w:szCs w:val="23"/>
        </w:rPr>
        <w:t>.</w:t>
      </w:r>
    </w:p>
    <w:p w14:paraId="4AAF5334" w14:textId="19D12653" w:rsidR="0085052B" w:rsidRPr="002E5315" w:rsidRDefault="0085052B" w:rsidP="00E1444E">
      <w:pPr>
        <w:keepNext/>
        <w:spacing w:before="240"/>
        <w:rPr>
          <w:rFonts w:cs="Arial"/>
          <w:sz w:val="20"/>
          <w:szCs w:val="20"/>
        </w:rPr>
      </w:pPr>
      <w:r w:rsidRPr="002E5315">
        <w:rPr>
          <w:rFonts w:cs="Arial"/>
          <w:sz w:val="20"/>
          <w:szCs w:val="20"/>
        </w:rPr>
        <w:t xml:space="preserve">Tablica </w:t>
      </w:r>
      <w:r w:rsidR="00E1444E" w:rsidRPr="002E5315">
        <w:rPr>
          <w:rFonts w:cs="Arial"/>
          <w:sz w:val="20"/>
          <w:szCs w:val="20"/>
        </w:rPr>
        <w:t>15</w:t>
      </w:r>
      <w:r w:rsidRPr="002E5315">
        <w:rPr>
          <w:rFonts w:cs="Arial"/>
          <w:sz w:val="20"/>
          <w:szCs w:val="20"/>
        </w:rPr>
        <w:t>.1. Struktura financijskog plana Povjerenika za informiranje i izvršenje u 2019.</w:t>
      </w:r>
    </w:p>
    <w:tbl>
      <w:tblPr>
        <w:tblStyle w:val="ListTable2-Accent11"/>
        <w:tblW w:w="9087" w:type="dxa"/>
        <w:jc w:val="center"/>
        <w:tblLook w:val="04A0" w:firstRow="1" w:lastRow="0" w:firstColumn="1" w:lastColumn="0" w:noHBand="0" w:noVBand="1"/>
      </w:tblPr>
      <w:tblGrid>
        <w:gridCol w:w="1042"/>
        <w:gridCol w:w="3084"/>
        <w:gridCol w:w="1276"/>
        <w:gridCol w:w="1276"/>
        <w:gridCol w:w="1275"/>
        <w:gridCol w:w="1134"/>
      </w:tblGrid>
      <w:tr w:rsidR="0085052B" w:rsidRPr="002E5315" w14:paraId="3F01C69D" w14:textId="77777777" w:rsidTr="0085052B">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317CD14" w14:textId="77777777" w:rsidR="0085052B" w:rsidRPr="002E5315" w:rsidRDefault="0085052B" w:rsidP="0085052B">
            <w:pPr>
              <w:jc w:val="right"/>
              <w:rPr>
                <w:rFonts w:cs="Calibri"/>
                <w:color w:val="000000"/>
                <w:sz w:val="16"/>
                <w:szCs w:val="16"/>
              </w:rPr>
            </w:pPr>
            <w:r w:rsidRPr="002E5315">
              <w:rPr>
                <w:rFonts w:cs="Calibri"/>
                <w:color w:val="000000"/>
                <w:sz w:val="16"/>
                <w:szCs w:val="16"/>
              </w:rPr>
              <w:t>25805</w:t>
            </w:r>
          </w:p>
        </w:tc>
        <w:tc>
          <w:tcPr>
            <w:tcW w:w="3084" w:type="dxa"/>
            <w:noWrap/>
            <w:hideMark/>
          </w:tcPr>
          <w:p w14:paraId="03235448"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Povjerenik za informiranje 2019.</w:t>
            </w:r>
          </w:p>
        </w:tc>
        <w:tc>
          <w:tcPr>
            <w:tcW w:w="1276" w:type="dxa"/>
            <w:noWrap/>
            <w:vAlign w:val="center"/>
            <w:hideMark/>
          </w:tcPr>
          <w:p w14:paraId="7D6503BA"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Plan 2019</w:t>
            </w:r>
          </w:p>
        </w:tc>
        <w:tc>
          <w:tcPr>
            <w:tcW w:w="1276" w:type="dxa"/>
            <w:noWrap/>
            <w:vAlign w:val="center"/>
            <w:hideMark/>
          </w:tcPr>
          <w:p w14:paraId="274CF1E8"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Izvršeno</w:t>
            </w:r>
          </w:p>
        </w:tc>
        <w:tc>
          <w:tcPr>
            <w:tcW w:w="1275" w:type="dxa"/>
            <w:noWrap/>
            <w:vAlign w:val="center"/>
            <w:hideMark/>
          </w:tcPr>
          <w:p w14:paraId="4DE91B16"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 izvršenja</w:t>
            </w:r>
          </w:p>
        </w:tc>
        <w:tc>
          <w:tcPr>
            <w:tcW w:w="1134" w:type="dxa"/>
            <w:noWrap/>
            <w:vAlign w:val="center"/>
            <w:hideMark/>
          </w:tcPr>
          <w:p w14:paraId="02C0F19D"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Preostalo</w:t>
            </w:r>
          </w:p>
        </w:tc>
      </w:tr>
      <w:tr w:rsidR="0085052B" w:rsidRPr="002E5315" w14:paraId="1C0D195B" w14:textId="77777777" w:rsidTr="0085052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422D3FD1" w14:textId="77777777" w:rsidR="0085052B" w:rsidRPr="002E5315" w:rsidRDefault="0085052B" w:rsidP="0085052B">
            <w:pPr>
              <w:jc w:val="right"/>
              <w:rPr>
                <w:rFonts w:cs="Calibri"/>
                <w:color w:val="000000"/>
                <w:sz w:val="16"/>
                <w:szCs w:val="16"/>
              </w:rPr>
            </w:pPr>
            <w:r w:rsidRPr="002E5315">
              <w:rPr>
                <w:rFonts w:cs="Calibri"/>
                <w:color w:val="000000"/>
                <w:sz w:val="16"/>
                <w:szCs w:val="16"/>
              </w:rPr>
              <w:t>A874001</w:t>
            </w:r>
          </w:p>
        </w:tc>
        <w:tc>
          <w:tcPr>
            <w:tcW w:w="3084" w:type="dxa"/>
            <w:noWrap/>
            <w:vAlign w:val="center"/>
            <w:hideMark/>
          </w:tcPr>
          <w:p w14:paraId="5CF60A0B"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Administracija i upravljanje</w:t>
            </w:r>
          </w:p>
        </w:tc>
        <w:tc>
          <w:tcPr>
            <w:tcW w:w="1276" w:type="dxa"/>
            <w:noWrap/>
            <w:vAlign w:val="center"/>
            <w:hideMark/>
          </w:tcPr>
          <w:p w14:paraId="65EC2F0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3.900.497,00</w:t>
            </w:r>
          </w:p>
        </w:tc>
        <w:tc>
          <w:tcPr>
            <w:tcW w:w="1276" w:type="dxa"/>
            <w:noWrap/>
            <w:vAlign w:val="center"/>
            <w:hideMark/>
          </w:tcPr>
          <w:p w14:paraId="30D4C9A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3.689.839,73</w:t>
            </w:r>
          </w:p>
        </w:tc>
        <w:tc>
          <w:tcPr>
            <w:tcW w:w="1275" w:type="dxa"/>
            <w:noWrap/>
            <w:vAlign w:val="center"/>
            <w:hideMark/>
          </w:tcPr>
          <w:p w14:paraId="6E48E8A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94,60%</w:t>
            </w:r>
          </w:p>
        </w:tc>
        <w:tc>
          <w:tcPr>
            <w:tcW w:w="1134" w:type="dxa"/>
            <w:noWrap/>
            <w:vAlign w:val="center"/>
            <w:hideMark/>
          </w:tcPr>
          <w:p w14:paraId="7E12387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210.657,27</w:t>
            </w:r>
          </w:p>
        </w:tc>
      </w:tr>
      <w:tr w:rsidR="0085052B" w:rsidRPr="002E5315" w14:paraId="1D35E147" w14:textId="77777777" w:rsidTr="0085052B">
        <w:trPr>
          <w:trHeight w:val="227"/>
          <w:jc w:val="center"/>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3D926FBB" w14:textId="77777777" w:rsidR="0085052B" w:rsidRPr="002E5315" w:rsidRDefault="0085052B" w:rsidP="0085052B">
            <w:pPr>
              <w:jc w:val="right"/>
              <w:rPr>
                <w:rFonts w:cs="Calibri"/>
                <w:color w:val="000000"/>
                <w:sz w:val="16"/>
                <w:szCs w:val="16"/>
              </w:rPr>
            </w:pPr>
            <w:r w:rsidRPr="002E5315">
              <w:rPr>
                <w:rFonts w:cs="Calibri"/>
                <w:color w:val="000000"/>
                <w:sz w:val="16"/>
                <w:szCs w:val="16"/>
              </w:rPr>
              <w:t>A874006</w:t>
            </w:r>
          </w:p>
        </w:tc>
        <w:tc>
          <w:tcPr>
            <w:tcW w:w="3084" w:type="dxa"/>
            <w:noWrap/>
            <w:vAlign w:val="center"/>
            <w:hideMark/>
          </w:tcPr>
          <w:p w14:paraId="35D53133"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 xml:space="preserve">Promicanje prava na pristup informacijama </w:t>
            </w:r>
          </w:p>
        </w:tc>
        <w:tc>
          <w:tcPr>
            <w:tcW w:w="1276" w:type="dxa"/>
            <w:noWrap/>
            <w:vAlign w:val="center"/>
            <w:hideMark/>
          </w:tcPr>
          <w:p w14:paraId="4ECD4A5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141.000,00</w:t>
            </w:r>
          </w:p>
        </w:tc>
        <w:tc>
          <w:tcPr>
            <w:tcW w:w="1276" w:type="dxa"/>
            <w:noWrap/>
            <w:vAlign w:val="center"/>
            <w:hideMark/>
          </w:tcPr>
          <w:p w14:paraId="34A8E8A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84.258,74</w:t>
            </w:r>
          </w:p>
        </w:tc>
        <w:tc>
          <w:tcPr>
            <w:tcW w:w="1275" w:type="dxa"/>
            <w:noWrap/>
            <w:vAlign w:val="center"/>
            <w:hideMark/>
          </w:tcPr>
          <w:p w14:paraId="4EF1553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59,76%</w:t>
            </w:r>
          </w:p>
        </w:tc>
        <w:tc>
          <w:tcPr>
            <w:tcW w:w="1134" w:type="dxa"/>
            <w:noWrap/>
            <w:vAlign w:val="center"/>
            <w:hideMark/>
          </w:tcPr>
          <w:p w14:paraId="1B5EC19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56.741,26</w:t>
            </w:r>
          </w:p>
        </w:tc>
      </w:tr>
      <w:tr w:rsidR="0085052B" w:rsidRPr="002E5315" w14:paraId="18E53FA5" w14:textId="77777777" w:rsidTr="0085052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42" w:type="dxa"/>
            <w:noWrap/>
            <w:vAlign w:val="center"/>
            <w:hideMark/>
          </w:tcPr>
          <w:p w14:paraId="37101A57" w14:textId="77777777" w:rsidR="0085052B" w:rsidRPr="002E5315" w:rsidRDefault="0085052B" w:rsidP="0085052B">
            <w:pPr>
              <w:jc w:val="right"/>
              <w:rPr>
                <w:rFonts w:cs="Calibri"/>
                <w:color w:val="000000"/>
                <w:sz w:val="16"/>
                <w:szCs w:val="16"/>
              </w:rPr>
            </w:pPr>
            <w:r w:rsidRPr="002E5315">
              <w:rPr>
                <w:rFonts w:cs="Calibri"/>
                <w:color w:val="000000"/>
                <w:sz w:val="16"/>
                <w:szCs w:val="16"/>
              </w:rPr>
              <w:t>K874004</w:t>
            </w:r>
          </w:p>
        </w:tc>
        <w:tc>
          <w:tcPr>
            <w:tcW w:w="3084" w:type="dxa"/>
            <w:noWrap/>
            <w:vAlign w:val="center"/>
            <w:hideMark/>
          </w:tcPr>
          <w:p w14:paraId="7FCF4242"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 xml:space="preserve">Informatizacija </w:t>
            </w:r>
          </w:p>
        </w:tc>
        <w:tc>
          <w:tcPr>
            <w:tcW w:w="1276" w:type="dxa"/>
            <w:noWrap/>
            <w:vAlign w:val="center"/>
            <w:hideMark/>
          </w:tcPr>
          <w:p w14:paraId="4D2DE93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57.000,00</w:t>
            </w:r>
          </w:p>
        </w:tc>
        <w:tc>
          <w:tcPr>
            <w:tcW w:w="1276" w:type="dxa"/>
            <w:noWrap/>
            <w:vAlign w:val="center"/>
            <w:hideMark/>
          </w:tcPr>
          <w:p w14:paraId="7557E98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47.662,77</w:t>
            </w:r>
          </w:p>
        </w:tc>
        <w:tc>
          <w:tcPr>
            <w:tcW w:w="1275" w:type="dxa"/>
            <w:noWrap/>
            <w:vAlign w:val="center"/>
            <w:hideMark/>
          </w:tcPr>
          <w:p w14:paraId="48A682A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83,62%</w:t>
            </w:r>
          </w:p>
        </w:tc>
        <w:tc>
          <w:tcPr>
            <w:tcW w:w="1134" w:type="dxa"/>
            <w:noWrap/>
            <w:vAlign w:val="center"/>
            <w:hideMark/>
          </w:tcPr>
          <w:p w14:paraId="36EF643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9.337,23</w:t>
            </w:r>
          </w:p>
        </w:tc>
      </w:tr>
      <w:tr w:rsidR="0085052B" w:rsidRPr="002E5315" w14:paraId="530D693F" w14:textId="77777777" w:rsidTr="0085052B">
        <w:trPr>
          <w:trHeight w:val="227"/>
          <w:jc w:val="center"/>
        </w:trPr>
        <w:tc>
          <w:tcPr>
            <w:cnfStyle w:val="001000000000" w:firstRow="0" w:lastRow="0" w:firstColumn="1" w:lastColumn="0" w:oddVBand="0" w:evenVBand="0" w:oddHBand="0" w:evenHBand="0" w:firstRowFirstColumn="0" w:firstRowLastColumn="0" w:lastRowFirstColumn="0" w:lastRowLastColumn="0"/>
            <w:tcW w:w="1042" w:type="dxa"/>
            <w:noWrap/>
            <w:hideMark/>
          </w:tcPr>
          <w:p w14:paraId="2DC75B5C" w14:textId="77777777" w:rsidR="0085052B" w:rsidRPr="002E5315" w:rsidRDefault="0085052B" w:rsidP="0085052B">
            <w:pPr>
              <w:jc w:val="right"/>
              <w:rPr>
                <w:rFonts w:cs="Calibri"/>
                <w:color w:val="000000"/>
                <w:sz w:val="16"/>
                <w:szCs w:val="16"/>
              </w:rPr>
            </w:pPr>
            <w:r w:rsidRPr="002E5315">
              <w:rPr>
                <w:rFonts w:cs="Calibri"/>
                <w:color w:val="000000"/>
                <w:sz w:val="16"/>
                <w:szCs w:val="16"/>
              </w:rPr>
              <w:t>T874008</w:t>
            </w:r>
          </w:p>
        </w:tc>
        <w:tc>
          <w:tcPr>
            <w:tcW w:w="3084" w:type="dxa"/>
            <w:noWrap/>
            <w:vAlign w:val="center"/>
            <w:hideMark/>
          </w:tcPr>
          <w:p w14:paraId="540897A9"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Cs/>
                <w:sz w:val="16"/>
                <w:szCs w:val="16"/>
              </w:rPr>
            </w:pPr>
            <w:r w:rsidRPr="002E5315">
              <w:rPr>
                <w:rFonts w:cs="Calibri"/>
                <w:bCs/>
                <w:sz w:val="16"/>
                <w:szCs w:val="16"/>
              </w:rPr>
              <w:t>Twinning Light projekt-Jačanje kapaciteta Agencije za zaštitu ličnih podataka i slobodan pristup informacijama u Crnoj Gori</w:t>
            </w:r>
          </w:p>
        </w:tc>
        <w:tc>
          <w:tcPr>
            <w:tcW w:w="1276" w:type="dxa"/>
            <w:noWrap/>
            <w:vAlign w:val="center"/>
            <w:hideMark/>
          </w:tcPr>
          <w:p w14:paraId="68AF13E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sz w:val="16"/>
                <w:szCs w:val="16"/>
              </w:rPr>
            </w:pPr>
            <w:r w:rsidRPr="002E5315">
              <w:rPr>
                <w:rFonts w:cs="Calibri"/>
                <w:bCs/>
                <w:sz w:val="16"/>
                <w:szCs w:val="16"/>
              </w:rPr>
              <w:t>269.500,00</w:t>
            </w:r>
          </w:p>
        </w:tc>
        <w:tc>
          <w:tcPr>
            <w:tcW w:w="1276" w:type="dxa"/>
            <w:noWrap/>
            <w:vAlign w:val="center"/>
            <w:hideMark/>
          </w:tcPr>
          <w:p w14:paraId="1F9C234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sz w:val="16"/>
                <w:szCs w:val="16"/>
              </w:rPr>
            </w:pPr>
            <w:r w:rsidRPr="002E5315">
              <w:rPr>
                <w:rFonts w:cs="Calibri"/>
                <w:bCs/>
                <w:sz w:val="16"/>
                <w:szCs w:val="16"/>
              </w:rPr>
              <w:t>119.600,26</w:t>
            </w:r>
          </w:p>
        </w:tc>
        <w:tc>
          <w:tcPr>
            <w:tcW w:w="1275" w:type="dxa"/>
            <w:noWrap/>
            <w:vAlign w:val="center"/>
            <w:hideMark/>
          </w:tcPr>
          <w:p w14:paraId="4402D6E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sz w:val="16"/>
                <w:szCs w:val="16"/>
              </w:rPr>
            </w:pPr>
            <w:r w:rsidRPr="002E5315">
              <w:rPr>
                <w:rFonts w:cs="Calibri"/>
                <w:bCs/>
                <w:sz w:val="16"/>
                <w:szCs w:val="16"/>
              </w:rPr>
              <w:t>44,38%</w:t>
            </w:r>
          </w:p>
        </w:tc>
        <w:tc>
          <w:tcPr>
            <w:tcW w:w="1134" w:type="dxa"/>
            <w:noWrap/>
            <w:vAlign w:val="center"/>
            <w:hideMark/>
          </w:tcPr>
          <w:p w14:paraId="3BFC246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sz w:val="16"/>
                <w:szCs w:val="16"/>
              </w:rPr>
            </w:pPr>
            <w:r w:rsidRPr="002E5315">
              <w:rPr>
                <w:rFonts w:cs="Calibri"/>
                <w:bCs/>
                <w:sz w:val="16"/>
                <w:szCs w:val="16"/>
              </w:rPr>
              <w:t>149.899,74</w:t>
            </w:r>
          </w:p>
        </w:tc>
      </w:tr>
      <w:tr w:rsidR="0085052B" w:rsidRPr="002E5315" w14:paraId="54E58F5A" w14:textId="77777777" w:rsidTr="0085052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042" w:type="dxa"/>
            <w:noWrap/>
            <w:hideMark/>
          </w:tcPr>
          <w:p w14:paraId="448B69F5" w14:textId="77777777" w:rsidR="0085052B" w:rsidRPr="002E5315" w:rsidRDefault="0085052B" w:rsidP="0085052B">
            <w:pPr>
              <w:rPr>
                <w:rFonts w:cs="Calibri"/>
                <w:color w:val="000000"/>
                <w:sz w:val="16"/>
                <w:szCs w:val="16"/>
              </w:rPr>
            </w:pPr>
          </w:p>
        </w:tc>
        <w:tc>
          <w:tcPr>
            <w:tcW w:w="3084" w:type="dxa"/>
            <w:noWrap/>
            <w:vAlign w:val="center"/>
            <w:hideMark/>
          </w:tcPr>
          <w:p w14:paraId="336CAE34"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 xml:space="preserve">Ukupno </w:t>
            </w:r>
          </w:p>
        </w:tc>
        <w:tc>
          <w:tcPr>
            <w:tcW w:w="1276" w:type="dxa"/>
            <w:noWrap/>
            <w:vAlign w:val="center"/>
            <w:hideMark/>
          </w:tcPr>
          <w:p w14:paraId="6B63BE5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4.367.997,00</w:t>
            </w:r>
          </w:p>
        </w:tc>
        <w:tc>
          <w:tcPr>
            <w:tcW w:w="1276" w:type="dxa"/>
            <w:noWrap/>
            <w:vAlign w:val="center"/>
            <w:hideMark/>
          </w:tcPr>
          <w:p w14:paraId="6C899A9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3.941.361,50</w:t>
            </w:r>
          </w:p>
        </w:tc>
        <w:tc>
          <w:tcPr>
            <w:tcW w:w="1275" w:type="dxa"/>
            <w:noWrap/>
            <w:vAlign w:val="center"/>
            <w:hideMark/>
          </w:tcPr>
          <w:p w14:paraId="75FD943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90,23%</w:t>
            </w:r>
          </w:p>
        </w:tc>
        <w:tc>
          <w:tcPr>
            <w:tcW w:w="1134" w:type="dxa"/>
            <w:noWrap/>
            <w:vAlign w:val="center"/>
            <w:hideMark/>
          </w:tcPr>
          <w:p w14:paraId="1C2BBC5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426.635,50</w:t>
            </w:r>
          </w:p>
        </w:tc>
      </w:tr>
    </w:tbl>
    <w:p w14:paraId="05B9548D" w14:textId="4CF2AA7A" w:rsidR="0085052B" w:rsidRPr="002E5315" w:rsidRDefault="0085052B" w:rsidP="0085052B">
      <w:pPr>
        <w:keepNext/>
        <w:rPr>
          <w:rFonts w:cs="Arial"/>
          <w:sz w:val="20"/>
          <w:szCs w:val="20"/>
        </w:rPr>
      </w:pPr>
      <w:r w:rsidRPr="002E5315">
        <w:rPr>
          <w:rFonts w:cs="Arial"/>
          <w:sz w:val="20"/>
          <w:szCs w:val="20"/>
        </w:rPr>
        <w:br w:type="page"/>
        <w:t xml:space="preserve">Tablica </w:t>
      </w:r>
      <w:r w:rsidR="00E1444E" w:rsidRPr="002E5315">
        <w:rPr>
          <w:rFonts w:cs="Arial"/>
          <w:sz w:val="20"/>
          <w:szCs w:val="20"/>
        </w:rPr>
        <w:t>15</w:t>
      </w:r>
      <w:r w:rsidRPr="002E5315">
        <w:rPr>
          <w:rFonts w:cs="Arial"/>
          <w:sz w:val="20"/>
          <w:szCs w:val="20"/>
        </w:rPr>
        <w:t>.2. Financijski plan Povjerenika za informiranje i izvršenje u 2019.</w:t>
      </w:r>
    </w:p>
    <w:tbl>
      <w:tblPr>
        <w:tblStyle w:val="ListTable2-Accent11"/>
        <w:tblW w:w="9288" w:type="dxa"/>
        <w:tblLayout w:type="fixed"/>
        <w:tblLook w:val="04A0" w:firstRow="1" w:lastRow="0" w:firstColumn="1" w:lastColumn="0" w:noHBand="0" w:noVBand="1"/>
      </w:tblPr>
      <w:tblGrid>
        <w:gridCol w:w="1101"/>
        <w:gridCol w:w="3463"/>
        <w:gridCol w:w="1214"/>
        <w:gridCol w:w="1276"/>
        <w:gridCol w:w="978"/>
        <w:gridCol w:w="1182"/>
        <w:gridCol w:w="74"/>
      </w:tblGrid>
      <w:tr w:rsidR="0085052B" w:rsidRPr="002E5315" w14:paraId="52A6D849" w14:textId="77777777" w:rsidTr="00FB52C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1ED6B6F" w14:textId="77777777" w:rsidR="0085052B" w:rsidRPr="002E5315" w:rsidRDefault="0085052B" w:rsidP="0085052B">
            <w:pPr>
              <w:jc w:val="center"/>
              <w:rPr>
                <w:rFonts w:cs="Calibri"/>
                <w:color w:val="000000"/>
                <w:sz w:val="16"/>
                <w:szCs w:val="16"/>
              </w:rPr>
            </w:pPr>
            <w:r w:rsidRPr="002E5315">
              <w:rPr>
                <w:rFonts w:cs="Calibri"/>
                <w:color w:val="000000"/>
                <w:sz w:val="16"/>
                <w:szCs w:val="16"/>
              </w:rPr>
              <w:t>258</w:t>
            </w:r>
          </w:p>
        </w:tc>
        <w:tc>
          <w:tcPr>
            <w:tcW w:w="3463" w:type="dxa"/>
            <w:noWrap/>
            <w:vAlign w:val="center"/>
            <w:hideMark/>
          </w:tcPr>
          <w:p w14:paraId="7C3F3C5D" w14:textId="77777777" w:rsidR="0085052B" w:rsidRPr="002E5315" w:rsidRDefault="0085052B" w:rsidP="00B43BF0">
            <w:pP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POVJERENIK ZA INFORMIRANJE 2019.</w:t>
            </w:r>
          </w:p>
        </w:tc>
        <w:tc>
          <w:tcPr>
            <w:tcW w:w="1214" w:type="dxa"/>
            <w:noWrap/>
            <w:vAlign w:val="center"/>
            <w:hideMark/>
          </w:tcPr>
          <w:p w14:paraId="20FBC116"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 xml:space="preserve">Plan </w:t>
            </w:r>
          </w:p>
        </w:tc>
        <w:tc>
          <w:tcPr>
            <w:tcW w:w="1276" w:type="dxa"/>
            <w:vAlign w:val="center"/>
            <w:hideMark/>
          </w:tcPr>
          <w:p w14:paraId="752B21DC"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Izvršeno</w:t>
            </w:r>
          </w:p>
        </w:tc>
        <w:tc>
          <w:tcPr>
            <w:tcW w:w="978" w:type="dxa"/>
            <w:vAlign w:val="center"/>
            <w:hideMark/>
          </w:tcPr>
          <w:p w14:paraId="12BEEFF5"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Izvršenje (%)</w:t>
            </w:r>
          </w:p>
        </w:tc>
        <w:tc>
          <w:tcPr>
            <w:tcW w:w="1256" w:type="dxa"/>
            <w:gridSpan w:val="2"/>
            <w:vAlign w:val="center"/>
            <w:hideMark/>
          </w:tcPr>
          <w:p w14:paraId="4208475F"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Preostalo</w:t>
            </w:r>
          </w:p>
        </w:tc>
      </w:tr>
      <w:tr w:rsidR="0085052B" w:rsidRPr="002E5315" w14:paraId="3DC2B418"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65C43B03" w14:textId="77777777" w:rsidR="0085052B" w:rsidRPr="002E5315" w:rsidRDefault="0085052B" w:rsidP="0085052B">
            <w:pPr>
              <w:jc w:val="right"/>
              <w:rPr>
                <w:rFonts w:cs="Calibri"/>
                <w:color w:val="000000"/>
                <w:sz w:val="16"/>
                <w:szCs w:val="16"/>
              </w:rPr>
            </w:pPr>
            <w:r w:rsidRPr="002E5315">
              <w:rPr>
                <w:rFonts w:cs="Calibri"/>
                <w:color w:val="000000"/>
                <w:sz w:val="16"/>
                <w:szCs w:val="16"/>
              </w:rPr>
              <w:t>A874001</w:t>
            </w:r>
          </w:p>
        </w:tc>
        <w:tc>
          <w:tcPr>
            <w:tcW w:w="3463" w:type="dxa"/>
            <w:noWrap/>
            <w:vAlign w:val="center"/>
            <w:hideMark/>
          </w:tcPr>
          <w:p w14:paraId="3418E1C5"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 xml:space="preserve">ADMINISTRACIJA I UPRAVLJANJE </w:t>
            </w:r>
          </w:p>
        </w:tc>
        <w:tc>
          <w:tcPr>
            <w:tcW w:w="1214" w:type="dxa"/>
            <w:noWrap/>
            <w:vAlign w:val="center"/>
            <w:hideMark/>
          </w:tcPr>
          <w:p w14:paraId="399A09D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c>
          <w:tcPr>
            <w:tcW w:w="1276" w:type="dxa"/>
            <w:noWrap/>
            <w:vAlign w:val="center"/>
            <w:hideMark/>
          </w:tcPr>
          <w:p w14:paraId="6577B38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c>
          <w:tcPr>
            <w:tcW w:w="978" w:type="dxa"/>
            <w:noWrap/>
            <w:vAlign w:val="center"/>
            <w:hideMark/>
          </w:tcPr>
          <w:p w14:paraId="3C2F0DA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c>
          <w:tcPr>
            <w:tcW w:w="1256" w:type="dxa"/>
            <w:gridSpan w:val="2"/>
            <w:noWrap/>
            <w:vAlign w:val="center"/>
            <w:hideMark/>
          </w:tcPr>
          <w:p w14:paraId="742B575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p>
        </w:tc>
      </w:tr>
      <w:tr w:rsidR="0085052B" w:rsidRPr="002E5315" w14:paraId="6317CE97"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7183D090" w14:textId="77777777" w:rsidR="0085052B" w:rsidRPr="002E5315" w:rsidRDefault="0085052B" w:rsidP="0085052B">
            <w:pPr>
              <w:jc w:val="right"/>
              <w:rPr>
                <w:rFonts w:cs="Calibri"/>
                <w:color w:val="000000"/>
                <w:sz w:val="16"/>
                <w:szCs w:val="16"/>
              </w:rPr>
            </w:pPr>
            <w:r w:rsidRPr="002E5315">
              <w:rPr>
                <w:rFonts w:cs="Calibri"/>
                <w:color w:val="000000"/>
                <w:sz w:val="16"/>
                <w:szCs w:val="16"/>
              </w:rPr>
              <w:t>Izvor 11, 51, 52</w:t>
            </w:r>
          </w:p>
        </w:tc>
        <w:tc>
          <w:tcPr>
            <w:tcW w:w="3463" w:type="dxa"/>
            <w:noWrap/>
            <w:vAlign w:val="center"/>
          </w:tcPr>
          <w:p w14:paraId="68E507F7"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1214" w:type="dxa"/>
            <w:noWrap/>
            <w:vAlign w:val="center"/>
          </w:tcPr>
          <w:p w14:paraId="356F7F0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color w:val="000000"/>
                <w:sz w:val="16"/>
                <w:szCs w:val="16"/>
              </w:rPr>
              <w:t>3.900.497,00</w:t>
            </w:r>
          </w:p>
        </w:tc>
        <w:tc>
          <w:tcPr>
            <w:tcW w:w="1276" w:type="dxa"/>
            <w:noWrap/>
            <w:vAlign w:val="center"/>
          </w:tcPr>
          <w:p w14:paraId="1169D3E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color w:val="000000"/>
                <w:sz w:val="16"/>
                <w:szCs w:val="16"/>
              </w:rPr>
              <w:t>3.941.361,50</w:t>
            </w:r>
          </w:p>
        </w:tc>
        <w:tc>
          <w:tcPr>
            <w:tcW w:w="978" w:type="dxa"/>
            <w:noWrap/>
            <w:vAlign w:val="center"/>
          </w:tcPr>
          <w:p w14:paraId="23F388B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color w:val="000000"/>
                <w:sz w:val="16"/>
                <w:szCs w:val="16"/>
              </w:rPr>
              <w:t>90,23%</w:t>
            </w:r>
          </w:p>
        </w:tc>
        <w:tc>
          <w:tcPr>
            <w:tcW w:w="1256" w:type="dxa"/>
            <w:gridSpan w:val="2"/>
            <w:noWrap/>
            <w:vAlign w:val="center"/>
          </w:tcPr>
          <w:p w14:paraId="50D0534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color w:val="000000"/>
                <w:sz w:val="16"/>
                <w:szCs w:val="16"/>
              </w:rPr>
              <w:t>426.635,50</w:t>
            </w:r>
          </w:p>
        </w:tc>
      </w:tr>
      <w:tr w:rsidR="0085052B" w:rsidRPr="002E5315" w14:paraId="3BF8F1A2"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235D641A" w14:textId="77777777" w:rsidR="0085052B" w:rsidRPr="002E5315" w:rsidRDefault="0085052B" w:rsidP="0085052B">
            <w:pPr>
              <w:jc w:val="right"/>
              <w:rPr>
                <w:rFonts w:cs="Calibri"/>
                <w:color w:val="000000"/>
                <w:sz w:val="16"/>
                <w:szCs w:val="16"/>
              </w:rPr>
            </w:pPr>
            <w:r w:rsidRPr="002E5315">
              <w:rPr>
                <w:rFonts w:cs="Calibri"/>
                <w:color w:val="000000"/>
                <w:sz w:val="16"/>
                <w:szCs w:val="16"/>
              </w:rPr>
              <w:t>Izvor 11</w:t>
            </w:r>
          </w:p>
        </w:tc>
        <w:tc>
          <w:tcPr>
            <w:tcW w:w="3463" w:type="dxa"/>
            <w:noWrap/>
            <w:vAlign w:val="center"/>
          </w:tcPr>
          <w:p w14:paraId="50D60CD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p>
        </w:tc>
        <w:tc>
          <w:tcPr>
            <w:tcW w:w="1214" w:type="dxa"/>
            <w:noWrap/>
            <w:vAlign w:val="center"/>
          </w:tcPr>
          <w:p w14:paraId="3EB7745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2E5315">
              <w:rPr>
                <w:rFonts w:cs="Calibri"/>
                <w:b/>
                <w:bCs/>
                <w:sz w:val="16"/>
                <w:szCs w:val="16"/>
              </w:rPr>
              <w:t>3.893.000,00</w:t>
            </w:r>
          </w:p>
        </w:tc>
        <w:tc>
          <w:tcPr>
            <w:tcW w:w="1276" w:type="dxa"/>
            <w:noWrap/>
            <w:vAlign w:val="center"/>
          </w:tcPr>
          <w:p w14:paraId="1EF6039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2E5315">
              <w:rPr>
                <w:rFonts w:cs="Calibri"/>
                <w:b/>
                <w:bCs/>
                <w:sz w:val="16"/>
                <w:szCs w:val="16"/>
              </w:rPr>
              <w:t>3.683.027,67</w:t>
            </w:r>
          </w:p>
        </w:tc>
        <w:tc>
          <w:tcPr>
            <w:tcW w:w="978" w:type="dxa"/>
            <w:noWrap/>
            <w:vAlign w:val="center"/>
          </w:tcPr>
          <w:p w14:paraId="5EF4B29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2E5315">
              <w:rPr>
                <w:rFonts w:cs="Calibri"/>
                <w:b/>
                <w:bCs/>
                <w:sz w:val="16"/>
                <w:szCs w:val="16"/>
              </w:rPr>
              <w:t>94,61%</w:t>
            </w:r>
          </w:p>
        </w:tc>
        <w:tc>
          <w:tcPr>
            <w:tcW w:w="1256" w:type="dxa"/>
            <w:gridSpan w:val="2"/>
            <w:noWrap/>
            <w:vAlign w:val="center"/>
          </w:tcPr>
          <w:p w14:paraId="6C74128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2E5315">
              <w:rPr>
                <w:rFonts w:cs="Calibri"/>
                <w:b/>
                <w:bCs/>
                <w:sz w:val="16"/>
                <w:szCs w:val="16"/>
              </w:rPr>
              <w:t>209.972,33</w:t>
            </w:r>
          </w:p>
        </w:tc>
      </w:tr>
      <w:tr w:rsidR="0085052B" w:rsidRPr="002E5315" w14:paraId="6A1CCD4B"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85AAD17" w14:textId="77777777" w:rsidR="0085052B" w:rsidRPr="002E5315" w:rsidRDefault="0085052B" w:rsidP="0085052B">
            <w:pPr>
              <w:jc w:val="right"/>
              <w:rPr>
                <w:rFonts w:cs="Calibri"/>
                <w:sz w:val="16"/>
                <w:szCs w:val="16"/>
              </w:rPr>
            </w:pPr>
            <w:r w:rsidRPr="002E5315">
              <w:rPr>
                <w:rFonts w:cs="Calibri"/>
                <w:sz w:val="16"/>
                <w:szCs w:val="16"/>
              </w:rPr>
              <w:t>31</w:t>
            </w:r>
          </w:p>
        </w:tc>
        <w:tc>
          <w:tcPr>
            <w:tcW w:w="3463" w:type="dxa"/>
            <w:noWrap/>
            <w:vAlign w:val="center"/>
            <w:hideMark/>
          </w:tcPr>
          <w:p w14:paraId="29AF3202"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sz w:val="16"/>
                <w:szCs w:val="16"/>
              </w:rPr>
              <w:t xml:space="preserve">Rashodi za zaposlene </w:t>
            </w:r>
          </w:p>
        </w:tc>
        <w:tc>
          <w:tcPr>
            <w:tcW w:w="1214" w:type="dxa"/>
            <w:noWrap/>
            <w:vAlign w:val="center"/>
            <w:hideMark/>
          </w:tcPr>
          <w:p w14:paraId="411E4AB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sz w:val="16"/>
                <w:szCs w:val="16"/>
              </w:rPr>
              <w:t>3.080.000,00</w:t>
            </w:r>
          </w:p>
        </w:tc>
        <w:tc>
          <w:tcPr>
            <w:tcW w:w="1276" w:type="dxa"/>
            <w:noWrap/>
            <w:vAlign w:val="center"/>
            <w:hideMark/>
          </w:tcPr>
          <w:p w14:paraId="4225666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sz w:val="16"/>
                <w:szCs w:val="16"/>
              </w:rPr>
              <w:t>3.006.105,01</w:t>
            </w:r>
          </w:p>
        </w:tc>
        <w:tc>
          <w:tcPr>
            <w:tcW w:w="978" w:type="dxa"/>
            <w:noWrap/>
            <w:vAlign w:val="center"/>
            <w:hideMark/>
          </w:tcPr>
          <w:p w14:paraId="2FD7984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sz w:val="16"/>
                <w:szCs w:val="16"/>
              </w:rPr>
              <w:t>97,60%</w:t>
            </w:r>
          </w:p>
        </w:tc>
        <w:tc>
          <w:tcPr>
            <w:tcW w:w="1256" w:type="dxa"/>
            <w:gridSpan w:val="2"/>
            <w:noWrap/>
            <w:vAlign w:val="center"/>
            <w:hideMark/>
          </w:tcPr>
          <w:p w14:paraId="7CF8A69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sz w:val="16"/>
                <w:szCs w:val="16"/>
              </w:rPr>
              <w:t>73.894,99</w:t>
            </w:r>
          </w:p>
        </w:tc>
      </w:tr>
      <w:tr w:rsidR="0085052B" w:rsidRPr="002E5315" w14:paraId="3E32A4B7"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6DFCA49D" w14:textId="77777777" w:rsidR="0085052B" w:rsidRPr="002E5315" w:rsidRDefault="0085052B" w:rsidP="0085052B">
            <w:pPr>
              <w:jc w:val="right"/>
              <w:rPr>
                <w:rFonts w:cs="Calibri"/>
                <w:color w:val="000000"/>
                <w:sz w:val="16"/>
                <w:szCs w:val="16"/>
              </w:rPr>
            </w:pPr>
            <w:r w:rsidRPr="002E5315">
              <w:rPr>
                <w:rFonts w:cs="Calibri"/>
                <w:color w:val="000000"/>
                <w:sz w:val="16"/>
                <w:szCs w:val="16"/>
              </w:rPr>
              <w:t>311</w:t>
            </w:r>
          </w:p>
        </w:tc>
        <w:tc>
          <w:tcPr>
            <w:tcW w:w="3463" w:type="dxa"/>
            <w:noWrap/>
            <w:vAlign w:val="center"/>
            <w:hideMark/>
          </w:tcPr>
          <w:p w14:paraId="10440A3B"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Plaće (bruto)</w:t>
            </w:r>
          </w:p>
        </w:tc>
        <w:tc>
          <w:tcPr>
            <w:tcW w:w="1214" w:type="dxa"/>
            <w:noWrap/>
            <w:vAlign w:val="center"/>
            <w:hideMark/>
          </w:tcPr>
          <w:p w14:paraId="1D49423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2.570.000,00</w:t>
            </w:r>
          </w:p>
        </w:tc>
        <w:tc>
          <w:tcPr>
            <w:tcW w:w="1276" w:type="dxa"/>
            <w:noWrap/>
            <w:vAlign w:val="center"/>
            <w:hideMark/>
          </w:tcPr>
          <w:p w14:paraId="1E7D139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2.532.826,19</w:t>
            </w:r>
          </w:p>
        </w:tc>
        <w:tc>
          <w:tcPr>
            <w:tcW w:w="978" w:type="dxa"/>
            <w:noWrap/>
            <w:vAlign w:val="center"/>
            <w:hideMark/>
          </w:tcPr>
          <w:p w14:paraId="3F654DC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98,55%</w:t>
            </w:r>
          </w:p>
        </w:tc>
        <w:tc>
          <w:tcPr>
            <w:tcW w:w="1256" w:type="dxa"/>
            <w:gridSpan w:val="2"/>
            <w:noWrap/>
            <w:vAlign w:val="center"/>
            <w:hideMark/>
          </w:tcPr>
          <w:p w14:paraId="2C651DB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37.173,81</w:t>
            </w:r>
          </w:p>
        </w:tc>
      </w:tr>
      <w:tr w:rsidR="0085052B" w:rsidRPr="002E5315" w14:paraId="2C6A01E0"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7E5DE24" w14:textId="77777777" w:rsidR="0085052B" w:rsidRPr="002E5315" w:rsidRDefault="0085052B" w:rsidP="0085052B">
            <w:pPr>
              <w:jc w:val="right"/>
              <w:rPr>
                <w:rFonts w:cs="Calibri"/>
                <w:color w:val="000000"/>
                <w:sz w:val="16"/>
                <w:szCs w:val="16"/>
              </w:rPr>
            </w:pPr>
            <w:r w:rsidRPr="002E5315">
              <w:rPr>
                <w:rFonts w:cs="Calibri"/>
                <w:color w:val="000000"/>
                <w:sz w:val="16"/>
                <w:szCs w:val="16"/>
              </w:rPr>
              <w:t>3111</w:t>
            </w:r>
          </w:p>
        </w:tc>
        <w:tc>
          <w:tcPr>
            <w:tcW w:w="3463" w:type="dxa"/>
            <w:noWrap/>
            <w:vAlign w:val="center"/>
            <w:hideMark/>
          </w:tcPr>
          <w:p w14:paraId="0887E6DE"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Plaće za redovan rad</w:t>
            </w:r>
          </w:p>
        </w:tc>
        <w:tc>
          <w:tcPr>
            <w:tcW w:w="1214" w:type="dxa"/>
            <w:noWrap/>
            <w:vAlign w:val="center"/>
            <w:hideMark/>
          </w:tcPr>
          <w:p w14:paraId="60B099A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2.565.000,00</w:t>
            </w:r>
          </w:p>
        </w:tc>
        <w:tc>
          <w:tcPr>
            <w:tcW w:w="1276" w:type="dxa"/>
            <w:noWrap/>
            <w:vAlign w:val="center"/>
            <w:hideMark/>
          </w:tcPr>
          <w:p w14:paraId="7204898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2.464.557,52</w:t>
            </w:r>
          </w:p>
        </w:tc>
        <w:tc>
          <w:tcPr>
            <w:tcW w:w="978" w:type="dxa"/>
            <w:noWrap/>
            <w:vAlign w:val="center"/>
            <w:hideMark/>
          </w:tcPr>
          <w:p w14:paraId="331D717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96,08%</w:t>
            </w:r>
          </w:p>
        </w:tc>
        <w:tc>
          <w:tcPr>
            <w:tcW w:w="1256" w:type="dxa"/>
            <w:gridSpan w:val="2"/>
            <w:vAlign w:val="center"/>
            <w:hideMark/>
          </w:tcPr>
          <w:p w14:paraId="0B969F4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100.442,48</w:t>
            </w:r>
          </w:p>
        </w:tc>
      </w:tr>
      <w:tr w:rsidR="0085052B" w:rsidRPr="002E5315" w14:paraId="6B6F8960"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9D6AAFD" w14:textId="77777777" w:rsidR="0085052B" w:rsidRPr="002E5315" w:rsidRDefault="0085052B" w:rsidP="0085052B">
            <w:pPr>
              <w:jc w:val="right"/>
              <w:rPr>
                <w:rFonts w:cs="Calibri"/>
                <w:color w:val="000000"/>
                <w:sz w:val="16"/>
                <w:szCs w:val="16"/>
              </w:rPr>
            </w:pPr>
            <w:r w:rsidRPr="002E5315">
              <w:rPr>
                <w:rFonts w:cs="Calibri"/>
                <w:color w:val="000000"/>
                <w:sz w:val="16"/>
                <w:szCs w:val="16"/>
              </w:rPr>
              <w:t>3113</w:t>
            </w:r>
          </w:p>
        </w:tc>
        <w:tc>
          <w:tcPr>
            <w:tcW w:w="3463" w:type="dxa"/>
            <w:noWrap/>
            <w:vAlign w:val="center"/>
            <w:hideMark/>
          </w:tcPr>
          <w:p w14:paraId="3B6AAA1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Plaće za prekovremeni rad</w:t>
            </w:r>
          </w:p>
        </w:tc>
        <w:tc>
          <w:tcPr>
            <w:tcW w:w="1214" w:type="dxa"/>
            <w:noWrap/>
            <w:vAlign w:val="center"/>
            <w:hideMark/>
          </w:tcPr>
          <w:p w14:paraId="060C09B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5.000,00</w:t>
            </w:r>
          </w:p>
        </w:tc>
        <w:tc>
          <w:tcPr>
            <w:tcW w:w="1276" w:type="dxa"/>
            <w:noWrap/>
            <w:vAlign w:val="center"/>
            <w:hideMark/>
          </w:tcPr>
          <w:p w14:paraId="16DCED9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68.268,67</w:t>
            </w:r>
          </w:p>
        </w:tc>
        <w:tc>
          <w:tcPr>
            <w:tcW w:w="978" w:type="dxa"/>
            <w:noWrap/>
            <w:vAlign w:val="center"/>
            <w:hideMark/>
          </w:tcPr>
          <w:p w14:paraId="3493CAB1"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1365,37%</w:t>
            </w:r>
          </w:p>
        </w:tc>
        <w:tc>
          <w:tcPr>
            <w:tcW w:w="1256" w:type="dxa"/>
            <w:gridSpan w:val="2"/>
            <w:vAlign w:val="center"/>
            <w:hideMark/>
          </w:tcPr>
          <w:p w14:paraId="24D3C66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-63.268,67</w:t>
            </w:r>
          </w:p>
        </w:tc>
      </w:tr>
      <w:tr w:rsidR="0085052B" w:rsidRPr="002E5315" w14:paraId="219E8DC3"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0F622E9" w14:textId="77777777" w:rsidR="0085052B" w:rsidRPr="002E5315" w:rsidRDefault="0085052B" w:rsidP="0085052B">
            <w:pPr>
              <w:jc w:val="right"/>
              <w:rPr>
                <w:rFonts w:cs="Calibri"/>
                <w:color w:val="000000"/>
                <w:sz w:val="16"/>
                <w:szCs w:val="16"/>
              </w:rPr>
            </w:pPr>
            <w:r w:rsidRPr="002E5315">
              <w:rPr>
                <w:rFonts w:cs="Calibri"/>
                <w:color w:val="000000"/>
                <w:sz w:val="16"/>
                <w:szCs w:val="16"/>
              </w:rPr>
              <w:t>312</w:t>
            </w:r>
          </w:p>
        </w:tc>
        <w:tc>
          <w:tcPr>
            <w:tcW w:w="3463" w:type="dxa"/>
            <w:noWrap/>
            <w:vAlign w:val="center"/>
            <w:hideMark/>
          </w:tcPr>
          <w:p w14:paraId="6DA60202"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Ostali rashodi za zaposlene</w:t>
            </w:r>
          </w:p>
        </w:tc>
        <w:tc>
          <w:tcPr>
            <w:tcW w:w="1214" w:type="dxa"/>
            <w:noWrap/>
            <w:vAlign w:val="center"/>
            <w:hideMark/>
          </w:tcPr>
          <w:p w14:paraId="14A7FDD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65.500,00</w:t>
            </w:r>
          </w:p>
        </w:tc>
        <w:tc>
          <w:tcPr>
            <w:tcW w:w="1276" w:type="dxa"/>
            <w:noWrap/>
            <w:vAlign w:val="center"/>
            <w:hideMark/>
          </w:tcPr>
          <w:p w14:paraId="0BC2D9E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54.187,78</w:t>
            </w:r>
          </w:p>
        </w:tc>
        <w:tc>
          <w:tcPr>
            <w:tcW w:w="978" w:type="dxa"/>
            <w:noWrap/>
            <w:vAlign w:val="center"/>
            <w:hideMark/>
          </w:tcPr>
          <w:p w14:paraId="4D2F66B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83,37%</w:t>
            </w:r>
          </w:p>
        </w:tc>
        <w:tc>
          <w:tcPr>
            <w:tcW w:w="1256" w:type="dxa"/>
            <w:gridSpan w:val="2"/>
            <w:vAlign w:val="center"/>
            <w:hideMark/>
          </w:tcPr>
          <w:p w14:paraId="2E84397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10.812,22</w:t>
            </w:r>
          </w:p>
        </w:tc>
      </w:tr>
      <w:tr w:rsidR="0085052B" w:rsidRPr="002E5315" w14:paraId="0304803F"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AB13666" w14:textId="77777777" w:rsidR="0085052B" w:rsidRPr="002E5315" w:rsidRDefault="0085052B" w:rsidP="0085052B">
            <w:pPr>
              <w:jc w:val="right"/>
              <w:rPr>
                <w:rFonts w:cs="Calibri"/>
                <w:color w:val="000000"/>
                <w:sz w:val="16"/>
                <w:szCs w:val="16"/>
              </w:rPr>
            </w:pPr>
            <w:r w:rsidRPr="002E5315">
              <w:rPr>
                <w:rFonts w:cs="Calibri"/>
                <w:color w:val="000000"/>
                <w:sz w:val="16"/>
                <w:szCs w:val="16"/>
              </w:rPr>
              <w:t>3121</w:t>
            </w:r>
          </w:p>
        </w:tc>
        <w:tc>
          <w:tcPr>
            <w:tcW w:w="3463" w:type="dxa"/>
            <w:noWrap/>
            <w:vAlign w:val="center"/>
            <w:hideMark/>
          </w:tcPr>
          <w:p w14:paraId="5B80C89C"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Ostali rashodi za zaposlene</w:t>
            </w:r>
          </w:p>
        </w:tc>
        <w:tc>
          <w:tcPr>
            <w:tcW w:w="1214" w:type="dxa"/>
            <w:noWrap/>
            <w:vAlign w:val="center"/>
            <w:hideMark/>
          </w:tcPr>
          <w:p w14:paraId="769CF58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Cs/>
                <w:color w:val="000000"/>
                <w:sz w:val="16"/>
                <w:szCs w:val="16"/>
              </w:rPr>
              <w:t>65.500,00</w:t>
            </w:r>
          </w:p>
        </w:tc>
        <w:tc>
          <w:tcPr>
            <w:tcW w:w="1276" w:type="dxa"/>
            <w:noWrap/>
            <w:vAlign w:val="center"/>
            <w:hideMark/>
          </w:tcPr>
          <w:p w14:paraId="7E84AC6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Cs/>
                <w:color w:val="000000"/>
                <w:sz w:val="16"/>
                <w:szCs w:val="16"/>
              </w:rPr>
              <w:t>54.187,78</w:t>
            </w:r>
          </w:p>
        </w:tc>
        <w:tc>
          <w:tcPr>
            <w:tcW w:w="978" w:type="dxa"/>
            <w:noWrap/>
            <w:vAlign w:val="center"/>
            <w:hideMark/>
          </w:tcPr>
          <w:p w14:paraId="42D72CF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Cs/>
                <w:color w:val="000000"/>
                <w:sz w:val="16"/>
                <w:szCs w:val="16"/>
              </w:rPr>
              <w:t>83,37%</w:t>
            </w:r>
          </w:p>
        </w:tc>
        <w:tc>
          <w:tcPr>
            <w:tcW w:w="1256" w:type="dxa"/>
            <w:gridSpan w:val="2"/>
            <w:vAlign w:val="center"/>
            <w:hideMark/>
          </w:tcPr>
          <w:p w14:paraId="53E493B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Cs/>
                <w:color w:val="000000"/>
                <w:sz w:val="16"/>
                <w:szCs w:val="16"/>
              </w:rPr>
              <w:t>10.812,22</w:t>
            </w:r>
          </w:p>
        </w:tc>
      </w:tr>
      <w:tr w:rsidR="0085052B" w:rsidRPr="002E5315" w14:paraId="6198D418"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EB8A868" w14:textId="77777777" w:rsidR="0085052B" w:rsidRPr="002E5315" w:rsidRDefault="0085052B" w:rsidP="0085052B">
            <w:pPr>
              <w:jc w:val="right"/>
              <w:rPr>
                <w:rFonts w:cs="Calibri"/>
                <w:color w:val="000000"/>
                <w:sz w:val="16"/>
                <w:szCs w:val="16"/>
              </w:rPr>
            </w:pPr>
            <w:r w:rsidRPr="002E5315">
              <w:rPr>
                <w:rFonts w:cs="Calibri"/>
                <w:color w:val="000000"/>
                <w:sz w:val="16"/>
                <w:szCs w:val="16"/>
              </w:rPr>
              <w:t>313</w:t>
            </w:r>
          </w:p>
        </w:tc>
        <w:tc>
          <w:tcPr>
            <w:tcW w:w="3463" w:type="dxa"/>
            <w:noWrap/>
            <w:vAlign w:val="center"/>
            <w:hideMark/>
          </w:tcPr>
          <w:p w14:paraId="6D218E79"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Doprinosi na plaće</w:t>
            </w:r>
          </w:p>
        </w:tc>
        <w:tc>
          <w:tcPr>
            <w:tcW w:w="1214" w:type="dxa"/>
            <w:noWrap/>
            <w:vAlign w:val="center"/>
            <w:hideMark/>
          </w:tcPr>
          <w:p w14:paraId="3B63AFF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445.000,00</w:t>
            </w:r>
          </w:p>
        </w:tc>
        <w:tc>
          <w:tcPr>
            <w:tcW w:w="1276" w:type="dxa"/>
            <w:noWrap/>
            <w:vAlign w:val="center"/>
            <w:hideMark/>
          </w:tcPr>
          <w:p w14:paraId="7A637CC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419.091,04</w:t>
            </w:r>
          </w:p>
        </w:tc>
        <w:tc>
          <w:tcPr>
            <w:tcW w:w="978" w:type="dxa"/>
            <w:noWrap/>
            <w:vAlign w:val="center"/>
            <w:hideMark/>
          </w:tcPr>
          <w:p w14:paraId="55B813B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94,18%</w:t>
            </w:r>
          </w:p>
        </w:tc>
        <w:tc>
          <w:tcPr>
            <w:tcW w:w="1256" w:type="dxa"/>
            <w:gridSpan w:val="2"/>
            <w:vAlign w:val="center"/>
            <w:hideMark/>
          </w:tcPr>
          <w:p w14:paraId="11D98A3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25.908,96</w:t>
            </w:r>
          </w:p>
        </w:tc>
      </w:tr>
      <w:tr w:rsidR="0085052B" w:rsidRPr="002E5315" w14:paraId="17588A4E"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F0D94AE" w14:textId="77777777" w:rsidR="0085052B" w:rsidRPr="002E5315" w:rsidRDefault="0085052B" w:rsidP="0085052B">
            <w:pPr>
              <w:jc w:val="right"/>
              <w:rPr>
                <w:rFonts w:cs="Calibri"/>
                <w:color w:val="000000"/>
                <w:sz w:val="16"/>
                <w:szCs w:val="16"/>
              </w:rPr>
            </w:pPr>
            <w:r w:rsidRPr="002E5315">
              <w:rPr>
                <w:rFonts w:cs="Calibri"/>
                <w:color w:val="000000"/>
                <w:sz w:val="16"/>
                <w:szCs w:val="16"/>
              </w:rPr>
              <w:t>3132</w:t>
            </w:r>
          </w:p>
        </w:tc>
        <w:tc>
          <w:tcPr>
            <w:tcW w:w="3463" w:type="dxa"/>
            <w:noWrap/>
            <w:vAlign w:val="center"/>
            <w:hideMark/>
          </w:tcPr>
          <w:p w14:paraId="070DA9A3"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Doprinosi za obvezno zdravstveno osiguranje</w:t>
            </w:r>
          </w:p>
        </w:tc>
        <w:tc>
          <w:tcPr>
            <w:tcW w:w="1214" w:type="dxa"/>
            <w:noWrap/>
            <w:vAlign w:val="center"/>
            <w:hideMark/>
          </w:tcPr>
          <w:p w14:paraId="32317E3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400.000,00</w:t>
            </w:r>
          </w:p>
        </w:tc>
        <w:tc>
          <w:tcPr>
            <w:tcW w:w="1276" w:type="dxa"/>
            <w:noWrap/>
            <w:vAlign w:val="center"/>
            <w:hideMark/>
          </w:tcPr>
          <w:p w14:paraId="2FC335E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415.923,94</w:t>
            </w:r>
          </w:p>
        </w:tc>
        <w:tc>
          <w:tcPr>
            <w:tcW w:w="978" w:type="dxa"/>
            <w:noWrap/>
            <w:vAlign w:val="center"/>
            <w:hideMark/>
          </w:tcPr>
          <w:p w14:paraId="6EF7D4C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103,98%</w:t>
            </w:r>
          </w:p>
        </w:tc>
        <w:tc>
          <w:tcPr>
            <w:tcW w:w="1256" w:type="dxa"/>
            <w:gridSpan w:val="2"/>
            <w:vAlign w:val="center"/>
            <w:hideMark/>
          </w:tcPr>
          <w:p w14:paraId="34AACBC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-15.923,94</w:t>
            </w:r>
          </w:p>
        </w:tc>
      </w:tr>
      <w:tr w:rsidR="0085052B" w:rsidRPr="002E5315" w14:paraId="09B97536"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ABE9339" w14:textId="77777777" w:rsidR="0085052B" w:rsidRPr="002E5315" w:rsidRDefault="0085052B" w:rsidP="0085052B">
            <w:pPr>
              <w:jc w:val="right"/>
              <w:rPr>
                <w:rFonts w:cs="Calibri"/>
                <w:color w:val="000000"/>
                <w:sz w:val="16"/>
                <w:szCs w:val="16"/>
              </w:rPr>
            </w:pPr>
            <w:r w:rsidRPr="002E5315">
              <w:rPr>
                <w:rFonts w:cs="Calibri"/>
                <w:color w:val="000000"/>
                <w:sz w:val="16"/>
                <w:szCs w:val="16"/>
              </w:rPr>
              <w:t>3133</w:t>
            </w:r>
          </w:p>
        </w:tc>
        <w:tc>
          <w:tcPr>
            <w:tcW w:w="3463" w:type="dxa"/>
            <w:noWrap/>
            <w:vAlign w:val="center"/>
            <w:hideMark/>
          </w:tcPr>
          <w:p w14:paraId="3C22D716"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Doprinosi za obvezno osiguranje u slučaju nezaposlenosti</w:t>
            </w:r>
          </w:p>
        </w:tc>
        <w:tc>
          <w:tcPr>
            <w:tcW w:w="1214" w:type="dxa"/>
            <w:noWrap/>
            <w:vAlign w:val="center"/>
            <w:hideMark/>
          </w:tcPr>
          <w:p w14:paraId="1FA2379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45.000,00</w:t>
            </w:r>
          </w:p>
        </w:tc>
        <w:tc>
          <w:tcPr>
            <w:tcW w:w="1276" w:type="dxa"/>
            <w:noWrap/>
            <w:vAlign w:val="center"/>
            <w:hideMark/>
          </w:tcPr>
          <w:p w14:paraId="2D3C6CF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3.167,10</w:t>
            </w:r>
          </w:p>
        </w:tc>
        <w:tc>
          <w:tcPr>
            <w:tcW w:w="978" w:type="dxa"/>
            <w:noWrap/>
            <w:vAlign w:val="center"/>
            <w:hideMark/>
          </w:tcPr>
          <w:p w14:paraId="022CD49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7,04%</w:t>
            </w:r>
          </w:p>
        </w:tc>
        <w:tc>
          <w:tcPr>
            <w:tcW w:w="1256" w:type="dxa"/>
            <w:gridSpan w:val="2"/>
            <w:vAlign w:val="center"/>
            <w:hideMark/>
          </w:tcPr>
          <w:p w14:paraId="0CE35ED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41.832,90</w:t>
            </w:r>
          </w:p>
        </w:tc>
      </w:tr>
      <w:tr w:rsidR="0085052B" w:rsidRPr="002E5315" w14:paraId="77ACB14D"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2AD257B3" w14:textId="77777777" w:rsidR="0085052B" w:rsidRPr="002E5315" w:rsidRDefault="0085052B" w:rsidP="0085052B">
            <w:pPr>
              <w:jc w:val="right"/>
              <w:rPr>
                <w:rFonts w:cs="Calibri"/>
                <w:color w:val="000000"/>
                <w:sz w:val="16"/>
                <w:szCs w:val="16"/>
              </w:rPr>
            </w:pPr>
            <w:r w:rsidRPr="002E5315">
              <w:rPr>
                <w:rFonts w:cs="Calibri"/>
                <w:color w:val="000000"/>
                <w:sz w:val="16"/>
                <w:szCs w:val="16"/>
              </w:rPr>
              <w:t>32</w:t>
            </w:r>
          </w:p>
        </w:tc>
        <w:tc>
          <w:tcPr>
            <w:tcW w:w="3463" w:type="dxa"/>
            <w:noWrap/>
            <w:vAlign w:val="center"/>
            <w:hideMark/>
          </w:tcPr>
          <w:p w14:paraId="627B365C"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 xml:space="preserve">Materijalni rashodi </w:t>
            </w:r>
          </w:p>
        </w:tc>
        <w:tc>
          <w:tcPr>
            <w:tcW w:w="1214" w:type="dxa"/>
            <w:noWrap/>
            <w:vAlign w:val="center"/>
            <w:hideMark/>
          </w:tcPr>
          <w:p w14:paraId="2BE1538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812.000,00</w:t>
            </w:r>
          </w:p>
        </w:tc>
        <w:tc>
          <w:tcPr>
            <w:tcW w:w="1276" w:type="dxa"/>
            <w:noWrap/>
            <w:vAlign w:val="center"/>
            <w:hideMark/>
          </w:tcPr>
          <w:p w14:paraId="7E4ED97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676.572,65</w:t>
            </w:r>
          </w:p>
        </w:tc>
        <w:tc>
          <w:tcPr>
            <w:tcW w:w="978" w:type="dxa"/>
            <w:noWrap/>
            <w:vAlign w:val="center"/>
            <w:hideMark/>
          </w:tcPr>
          <w:p w14:paraId="31F92EC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83,32%</w:t>
            </w:r>
          </w:p>
        </w:tc>
        <w:tc>
          <w:tcPr>
            <w:tcW w:w="1256" w:type="dxa"/>
            <w:gridSpan w:val="2"/>
            <w:noWrap/>
            <w:vAlign w:val="center"/>
            <w:hideMark/>
          </w:tcPr>
          <w:p w14:paraId="3F854B7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135.427,35</w:t>
            </w:r>
          </w:p>
        </w:tc>
      </w:tr>
      <w:tr w:rsidR="0085052B" w:rsidRPr="002E5315" w14:paraId="7154B526"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71AC318" w14:textId="77777777" w:rsidR="0085052B" w:rsidRPr="002E5315" w:rsidRDefault="0085052B" w:rsidP="0085052B">
            <w:pPr>
              <w:jc w:val="right"/>
              <w:rPr>
                <w:rFonts w:cs="Calibri"/>
                <w:color w:val="000000"/>
                <w:sz w:val="16"/>
                <w:szCs w:val="16"/>
              </w:rPr>
            </w:pPr>
            <w:r w:rsidRPr="002E5315">
              <w:rPr>
                <w:rFonts w:cs="Calibri"/>
                <w:color w:val="000000"/>
                <w:sz w:val="16"/>
                <w:szCs w:val="16"/>
              </w:rPr>
              <w:t>321</w:t>
            </w:r>
          </w:p>
        </w:tc>
        <w:tc>
          <w:tcPr>
            <w:tcW w:w="3463" w:type="dxa"/>
            <w:noWrap/>
            <w:vAlign w:val="center"/>
            <w:hideMark/>
          </w:tcPr>
          <w:p w14:paraId="18BB4DC2"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Naknade troškova zaposlenima</w:t>
            </w:r>
          </w:p>
        </w:tc>
        <w:tc>
          <w:tcPr>
            <w:tcW w:w="1214" w:type="dxa"/>
            <w:noWrap/>
            <w:vAlign w:val="center"/>
            <w:hideMark/>
          </w:tcPr>
          <w:p w14:paraId="64A2BD6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137.000,00</w:t>
            </w:r>
          </w:p>
        </w:tc>
        <w:tc>
          <w:tcPr>
            <w:tcW w:w="1276" w:type="dxa"/>
            <w:noWrap/>
            <w:vAlign w:val="center"/>
            <w:hideMark/>
          </w:tcPr>
          <w:p w14:paraId="52480B0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104.078,98</w:t>
            </w:r>
          </w:p>
        </w:tc>
        <w:tc>
          <w:tcPr>
            <w:tcW w:w="978" w:type="dxa"/>
            <w:noWrap/>
            <w:vAlign w:val="center"/>
            <w:hideMark/>
          </w:tcPr>
          <w:p w14:paraId="30DBEEC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75,97%</w:t>
            </w:r>
          </w:p>
        </w:tc>
        <w:tc>
          <w:tcPr>
            <w:tcW w:w="1256" w:type="dxa"/>
            <w:gridSpan w:val="2"/>
            <w:noWrap/>
            <w:vAlign w:val="center"/>
            <w:hideMark/>
          </w:tcPr>
          <w:p w14:paraId="0063021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32.921,02</w:t>
            </w:r>
          </w:p>
        </w:tc>
      </w:tr>
      <w:tr w:rsidR="0085052B" w:rsidRPr="002E5315" w14:paraId="67D0CDE5"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9B66FDC" w14:textId="77777777" w:rsidR="0085052B" w:rsidRPr="002E5315" w:rsidRDefault="0085052B" w:rsidP="0085052B">
            <w:pPr>
              <w:jc w:val="right"/>
              <w:rPr>
                <w:rFonts w:cs="Calibri"/>
                <w:color w:val="000000"/>
                <w:sz w:val="16"/>
                <w:szCs w:val="16"/>
              </w:rPr>
            </w:pPr>
            <w:r w:rsidRPr="002E5315">
              <w:rPr>
                <w:rFonts w:cs="Calibri"/>
                <w:color w:val="000000"/>
                <w:sz w:val="16"/>
                <w:szCs w:val="16"/>
              </w:rPr>
              <w:t>3211</w:t>
            </w:r>
          </w:p>
        </w:tc>
        <w:tc>
          <w:tcPr>
            <w:tcW w:w="3463" w:type="dxa"/>
            <w:noWrap/>
            <w:vAlign w:val="center"/>
            <w:hideMark/>
          </w:tcPr>
          <w:p w14:paraId="46EE394B"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Službena putovanja</w:t>
            </w:r>
          </w:p>
        </w:tc>
        <w:tc>
          <w:tcPr>
            <w:tcW w:w="1214" w:type="dxa"/>
            <w:noWrap/>
            <w:vAlign w:val="center"/>
            <w:hideMark/>
          </w:tcPr>
          <w:p w14:paraId="3C18BB1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48.000,00</w:t>
            </w:r>
          </w:p>
        </w:tc>
        <w:tc>
          <w:tcPr>
            <w:tcW w:w="1276" w:type="dxa"/>
            <w:noWrap/>
            <w:vAlign w:val="center"/>
            <w:hideMark/>
          </w:tcPr>
          <w:p w14:paraId="1BCDB70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47.390,51</w:t>
            </w:r>
          </w:p>
        </w:tc>
        <w:tc>
          <w:tcPr>
            <w:tcW w:w="978" w:type="dxa"/>
            <w:noWrap/>
            <w:vAlign w:val="center"/>
            <w:hideMark/>
          </w:tcPr>
          <w:p w14:paraId="3DF322F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98,73%</w:t>
            </w:r>
          </w:p>
        </w:tc>
        <w:tc>
          <w:tcPr>
            <w:tcW w:w="1256" w:type="dxa"/>
            <w:gridSpan w:val="2"/>
            <w:noWrap/>
            <w:vAlign w:val="center"/>
            <w:hideMark/>
          </w:tcPr>
          <w:p w14:paraId="33914A0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609,49</w:t>
            </w:r>
          </w:p>
        </w:tc>
      </w:tr>
      <w:tr w:rsidR="0085052B" w:rsidRPr="002E5315" w14:paraId="4C48B983"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077B99C" w14:textId="77777777" w:rsidR="0085052B" w:rsidRPr="002E5315" w:rsidRDefault="0085052B" w:rsidP="0085052B">
            <w:pPr>
              <w:jc w:val="right"/>
              <w:rPr>
                <w:rFonts w:cs="Calibri"/>
                <w:color w:val="000000"/>
                <w:sz w:val="16"/>
                <w:szCs w:val="16"/>
              </w:rPr>
            </w:pPr>
            <w:r w:rsidRPr="002E5315">
              <w:rPr>
                <w:rFonts w:cs="Calibri"/>
                <w:color w:val="000000"/>
                <w:sz w:val="16"/>
                <w:szCs w:val="16"/>
              </w:rPr>
              <w:t>3212</w:t>
            </w:r>
          </w:p>
        </w:tc>
        <w:tc>
          <w:tcPr>
            <w:tcW w:w="3463" w:type="dxa"/>
            <w:noWrap/>
            <w:vAlign w:val="center"/>
            <w:hideMark/>
          </w:tcPr>
          <w:p w14:paraId="1C187356"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Naknade za prijevoz, rad na terenu</w:t>
            </w:r>
          </w:p>
        </w:tc>
        <w:tc>
          <w:tcPr>
            <w:tcW w:w="1214" w:type="dxa"/>
            <w:noWrap/>
            <w:vAlign w:val="center"/>
            <w:hideMark/>
          </w:tcPr>
          <w:p w14:paraId="710D5FA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72.000,00</w:t>
            </w:r>
          </w:p>
        </w:tc>
        <w:tc>
          <w:tcPr>
            <w:tcW w:w="1276" w:type="dxa"/>
            <w:noWrap/>
            <w:vAlign w:val="center"/>
            <w:hideMark/>
          </w:tcPr>
          <w:p w14:paraId="291BEA2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47.059,47</w:t>
            </w:r>
          </w:p>
        </w:tc>
        <w:tc>
          <w:tcPr>
            <w:tcW w:w="978" w:type="dxa"/>
            <w:noWrap/>
            <w:vAlign w:val="center"/>
            <w:hideMark/>
          </w:tcPr>
          <w:p w14:paraId="2EF2BB8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65,36%</w:t>
            </w:r>
          </w:p>
        </w:tc>
        <w:tc>
          <w:tcPr>
            <w:tcW w:w="1256" w:type="dxa"/>
            <w:gridSpan w:val="2"/>
            <w:noWrap/>
            <w:vAlign w:val="center"/>
            <w:hideMark/>
          </w:tcPr>
          <w:p w14:paraId="310FF57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24.940,53</w:t>
            </w:r>
          </w:p>
        </w:tc>
      </w:tr>
      <w:tr w:rsidR="0085052B" w:rsidRPr="002E5315" w14:paraId="66F34931"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D01A3EB" w14:textId="77777777" w:rsidR="0085052B" w:rsidRPr="002E5315" w:rsidRDefault="0085052B" w:rsidP="0085052B">
            <w:pPr>
              <w:jc w:val="right"/>
              <w:rPr>
                <w:rFonts w:cs="Calibri"/>
                <w:color w:val="000000"/>
                <w:sz w:val="16"/>
                <w:szCs w:val="16"/>
              </w:rPr>
            </w:pPr>
            <w:r w:rsidRPr="002E5315">
              <w:rPr>
                <w:rFonts w:cs="Calibri"/>
                <w:color w:val="000000"/>
                <w:sz w:val="16"/>
                <w:szCs w:val="16"/>
              </w:rPr>
              <w:t>3213</w:t>
            </w:r>
          </w:p>
        </w:tc>
        <w:tc>
          <w:tcPr>
            <w:tcW w:w="3463" w:type="dxa"/>
            <w:noWrap/>
            <w:vAlign w:val="center"/>
            <w:hideMark/>
          </w:tcPr>
          <w:p w14:paraId="62FA333A"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Stručno usavršavanje zaposlenika</w:t>
            </w:r>
          </w:p>
        </w:tc>
        <w:tc>
          <w:tcPr>
            <w:tcW w:w="1214" w:type="dxa"/>
            <w:noWrap/>
            <w:vAlign w:val="center"/>
            <w:hideMark/>
          </w:tcPr>
          <w:p w14:paraId="338C358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13.000,00</w:t>
            </w:r>
          </w:p>
        </w:tc>
        <w:tc>
          <w:tcPr>
            <w:tcW w:w="1276" w:type="dxa"/>
            <w:noWrap/>
            <w:vAlign w:val="center"/>
            <w:hideMark/>
          </w:tcPr>
          <w:p w14:paraId="24ED4BE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6.780,00</w:t>
            </w:r>
          </w:p>
        </w:tc>
        <w:tc>
          <w:tcPr>
            <w:tcW w:w="978" w:type="dxa"/>
            <w:noWrap/>
            <w:vAlign w:val="center"/>
            <w:hideMark/>
          </w:tcPr>
          <w:p w14:paraId="3E851BE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52,15%</w:t>
            </w:r>
          </w:p>
        </w:tc>
        <w:tc>
          <w:tcPr>
            <w:tcW w:w="1256" w:type="dxa"/>
            <w:gridSpan w:val="2"/>
            <w:noWrap/>
            <w:vAlign w:val="center"/>
            <w:hideMark/>
          </w:tcPr>
          <w:p w14:paraId="138B6D7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6.220,00</w:t>
            </w:r>
          </w:p>
        </w:tc>
      </w:tr>
      <w:tr w:rsidR="0085052B" w:rsidRPr="002E5315" w14:paraId="300DC6BB"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E4BCA46" w14:textId="77777777" w:rsidR="0085052B" w:rsidRPr="002E5315" w:rsidRDefault="0085052B" w:rsidP="0085052B">
            <w:pPr>
              <w:jc w:val="right"/>
              <w:rPr>
                <w:rFonts w:cs="Calibri"/>
                <w:color w:val="000000"/>
                <w:sz w:val="16"/>
                <w:szCs w:val="16"/>
              </w:rPr>
            </w:pPr>
            <w:r w:rsidRPr="002E5315">
              <w:rPr>
                <w:rFonts w:cs="Calibri"/>
                <w:color w:val="000000"/>
                <w:sz w:val="16"/>
                <w:szCs w:val="16"/>
              </w:rPr>
              <w:t>3214</w:t>
            </w:r>
          </w:p>
        </w:tc>
        <w:tc>
          <w:tcPr>
            <w:tcW w:w="3463" w:type="dxa"/>
            <w:noWrap/>
            <w:vAlign w:val="center"/>
            <w:hideMark/>
          </w:tcPr>
          <w:p w14:paraId="5C9BA15D"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Ostale naknade troškova zaposlenima</w:t>
            </w:r>
          </w:p>
        </w:tc>
        <w:tc>
          <w:tcPr>
            <w:tcW w:w="1214" w:type="dxa"/>
            <w:noWrap/>
            <w:vAlign w:val="center"/>
            <w:hideMark/>
          </w:tcPr>
          <w:p w14:paraId="598A66F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4.000,00</w:t>
            </w:r>
          </w:p>
        </w:tc>
        <w:tc>
          <w:tcPr>
            <w:tcW w:w="1276" w:type="dxa"/>
            <w:noWrap/>
            <w:vAlign w:val="center"/>
            <w:hideMark/>
          </w:tcPr>
          <w:p w14:paraId="2D9E01E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2.849,00</w:t>
            </w:r>
          </w:p>
        </w:tc>
        <w:tc>
          <w:tcPr>
            <w:tcW w:w="978" w:type="dxa"/>
            <w:noWrap/>
            <w:vAlign w:val="center"/>
            <w:hideMark/>
          </w:tcPr>
          <w:p w14:paraId="21BCD14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71,23%</w:t>
            </w:r>
          </w:p>
        </w:tc>
        <w:tc>
          <w:tcPr>
            <w:tcW w:w="1256" w:type="dxa"/>
            <w:gridSpan w:val="2"/>
            <w:noWrap/>
            <w:vAlign w:val="center"/>
            <w:hideMark/>
          </w:tcPr>
          <w:p w14:paraId="63B4F45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1.151,00</w:t>
            </w:r>
          </w:p>
        </w:tc>
      </w:tr>
      <w:tr w:rsidR="0085052B" w:rsidRPr="002E5315" w14:paraId="0EB96B4D"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B8DBEB7" w14:textId="77777777" w:rsidR="0085052B" w:rsidRPr="002E5315" w:rsidRDefault="0085052B" w:rsidP="0085052B">
            <w:pPr>
              <w:jc w:val="right"/>
              <w:rPr>
                <w:rFonts w:cs="Calibri"/>
                <w:color w:val="000000"/>
                <w:sz w:val="16"/>
                <w:szCs w:val="16"/>
              </w:rPr>
            </w:pPr>
            <w:r w:rsidRPr="002E5315">
              <w:rPr>
                <w:rFonts w:cs="Calibri"/>
                <w:color w:val="000000"/>
                <w:sz w:val="16"/>
                <w:szCs w:val="16"/>
              </w:rPr>
              <w:t>322</w:t>
            </w:r>
          </w:p>
        </w:tc>
        <w:tc>
          <w:tcPr>
            <w:tcW w:w="3463" w:type="dxa"/>
            <w:noWrap/>
            <w:vAlign w:val="center"/>
            <w:hideMark/>
          </w:tcPr>
          <w:p w14:paraId="27DA3099"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Rashodi za materijal i energiju</w:t>
            </w:r>
          </w:p>
        </w:tc>
        <w:tc>
          <w:tcPr>
            <w:tcW w:w="1214" w:type="dxa"/>
            <w:noWrap/>
            <w:vAlign w:val="center"/>
            <w:hideMark/>
          </w:tcPr>
          <w:p w14:paraId="7887274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100.000,00</w:t>
            </w:r>
          </w:p>
        </w:tc>
        <w:tc>
          <w:tcPr>
            <w:tcW w:w="1276" w:type="dxa"/>
            <w:noWrap/>
            <w:vAlign w:val="center"/>
            <w:hideMark/>
          </w:tcPr>
          <w:p w14:paraId="73FBF7B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82.086,68</w:t>
            </w:r>
          </w:p>
        </w:tc>
        <w:tc>
          <w:tcPr>
            <w:tcW w:w="978" w:type="dxa"/>
            <w:noWrap/>
            <w:vAlign w:val="center"/>
            <w:hideMark/>
          </w:tcPr>
          <w:p w14:paraId="245ADE4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82,09%</w:t>
            </w:r>
          </w:p>
        </w:tc>
        <w:tc>
          <w:tcPr>
            <w:tcW w:w="1256" w:type="dxa"/>
            <w:gridSpan w:val="2"/>
            <w:noWrap/>
            <w:vAlign w:val="center"/>
            <w:hideMark/>
          </w:tcPr>
          <w:p w14:paraId="4D0D350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17.913,32</w:t>
            </w:r>
          </w:p>
        </w:tc>
      </w:tr>
      <w:tr w:rsidR="0085052B" w:rsidRPr="002E5315" w14:paraId="4FEAA0F7"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A561D32" w14:textId="77777777" w:rsidR="0085052B" w:rsidRPr="002E5315" w:rsidRDefault="0085052B" w:rsidP="0085052B">
            <w:pPr>
              <w:jc w:val="right"/>
              <w:rPr>
                <w:rFonts w:cs="Calibri"/>
                <w:color w:val="000000"/>
                <w:sz w:val="16"/>
                <w:szCs w:val="16"/>
              </w:rPr>
            </w:pPr>
            <w:r w:rsidRPr="002E5315">
              <w:rPr>
                <w:rFonts w:cs="Calibri"/>
                <w:color w:val="000000"/>
                <w:sz w:val="16"/>
                <w:szCs w:val="16"/>
              </w:rPr>
              <w:t>3221</w:t>
            </w:r>
          </w:p>
        </w:tc>
        <w:tc>
          <w:tcPr>
            <w:tcW w:w="3463" w:type="dxa"/>
            <w:noWrap/>
            <w:vAlign w:val="center"/>
            <w:hideMark/>
          </w:tcPr>
          <w:p w14:paraId="54AAF828"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Uredski materijal i ostali materijalni rashodi</w:t>
            </w:r>
          </w:p>
        </w:tc>
        <w:tc>
          <w:tcPr>
            <w:tcW w:w="1214" w:type="dxa"/>
            <w:noWrap/>
            <w:vAlign w:val="center"/>
            <w:hideMark/>
          </w:tcPr>
          <w:p w14:paraId="3DFEED1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65.000,00</w:t>
            </w:r>
          </w:p>
        </w:tc>
        <w:tc>
          <w:tcPr>
            <w:tcW w:w="1276" w:type="dxa"/>
            <w:noWrap/>
            <w:vAlign w:val="center"/>
            <w:hideMark/>
          </w:tcPr>
          <w:p w14:paraId="77D9C3D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56.400,27</w:t>
            </w:r>
          </w:p>
        </w:tc>
        <w:tc>
          <w:tcPr>
            <w:tcW w:w="978" w:type="dxa"/>
            <w:noWrap/>
            <w:vAlign w:val="center"/>
            <w:hideMark/>
          </w:tcPr>
          <w:p w14:paraId="783C374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86,77%</w:t>
            </w:r>
          </w:p>
        </w:tc>
        <w:tc>
          <w:tcPr>
            <w:tcW w:w="1256" w:type="dxa"/>
            <w:gridSpan w:val="2"/>
            <w:noWrap/>
            <w:vAlign w:val="center"/>
            <w:hideMark/>
          </w:tcPr>
          <w:p w14:paraId="39215C9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8.599,73</w:t>
            </w:r>
          </w:p>
        </w:tc>
      </w:tr>
      <w:tr w:rsidR="0085052B" w:rsidRPr="002E5315" w14:paraId="622B1E36"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72E0AD4" w14:textId="77777777" w:rsidR="0085052B" w:rsidRPr="002E5315" w:rsidRDefault="0085052B" w:rsidP="0085052B">
            <w:pPr>
              <w:jc w:val="right"/>
              <w:rPr>
                <w:rFonts w:cs="Calibri"/>
                <w:color w:val="000000"/>
                <w:sz w:val="16"/>
                <w:szCs w:val="16"/>
              </w:rPr>
            </w:pPr>
            <w:r w:rsidRPr="002E5315">
              <w:rPr>
                <w:rFonts w:cs="Calibri"/>
                <w:color w:val="000000"/>
                <w:sz w:val="16"/>
                <w:szCs w:val="16"/>
              </w:rPr>
              <w:t>3223</w:t>
            </w:r>
          </w:p>
        </w:tc>
        <w:tc>
          <w:tcPr>
            <w:tcW w:w="3463" w:type="dxa"/>
            <w:noWrap/>
            <w:vAlign w:val="center"/>
            <w:hideMark/>
          </w:tcPr>
          <w:p w14:paraId="3C6264D2"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Energija</w:t>
            </w:r>
          </w:p>
        </w:tc>
        <w:tc>
          <w:tcPr>
            <w:tcW w:w="1214" w:type="dxa"/>
            <w:noWrap/>
            <w:vAlign w:val="center"/>
            <w:hideMark/>
          </w:tcPr>
          <w:p w14:paraId="25C2A53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28.000,00</w:t>
            </w:r>
          </w:p>
        </w:tc>
        <w:tc>
          <w:tcPr>
            <w:tcW w:w="1276" w:type="dxa"/>
            <w:noWrap/>
            <w:vAlign w:val="center"/>
            <w:hideMark/>
          </w:tcPr>
          <w:p w14:paraId="3749933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18.273,54</w:t>
            </w:r>
          </w:p>
        </w:tc>
        <w:tc>
          <w:tcPr>
            <w:tcW w:w="978" w:type="dxa"/>
            <w:noWrap/>
            <w:vAlign w:val="center"/>
            <w:hideMark/>
          </w:tcPr>
          <w:p w14:paraId="1CA1631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65,26%</w:t>
            </w:r>
          </w:p>
        </w:tc>
        <w:tc>
          <w:tcPr>
            <w:tcW w:w="1256" w:type="dxa"/>
            <w:gridSpan w:val="2"/>
            <w:noWrap/>
            <w:vAlign w:val="center"/>
            <w:hideMark/>
          </w:tcPr>
          <w:p w14:paraId="76637FC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9.726,46</w:t>
            </w:r>
          </w:p>
        </w:tc>
      </w:tr>
      <w:tr w:rsidR="0085052B" w:rsidRPr="002E5315" w14:paraId="06332979"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2B32DAC1" w14:textId="77777777" w:rsidR="0085052B" w:rsidRPr="002E5315" w:rsidRDefault="0085052B" w:rsidP="0085052B">
            <w:pPr>
              <w:jc w:val="right"/>
              <w:rPr>
                <w:rFonts w:cs="Calibri"/>
                <w:color w:val="000000"/>
                <w:sz w:val="16"/>
                <w:szCs w:val="16"/>
              </w:rPr>
            </w:pPr>
            <w:r w:rsidRPr="002E5315">
              <w:rPr>
                <w:rFonts w:cs="Calibri"/>
                <w:color w:val="000000"/>
                <w:sz w:val="16"/>
                <w:szCs w:val="16"/>
              </w:rPr>
              <w:t>3225</w:t>
            </w:r>
          </w:p>
        </w:tc>
        <w:tc>
          <w:tcPr>
            <w:tcW w:w="3463" w:type="dxa"/>
            <w:noWrap/>
            <w:vAlign w:val="center"/>
            <w:hideMark/>
          </w:tcPr>
          <w:p w14:paraId="58FEEF7C"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Sitni inventar i auto gume</w:t>
            </w:r>
          </w:p>
        </w:tc>
        <w:tc>
          <w:tcPr>
            <w:tcW w:w="1214" w:type="dxa"/>
            <w:noWrap/>
            <w:vAlign w:val="center"/>
            <w:hideMark/>
          </w:tcPr>
          <w:p w14:paraId="47364BE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7.000,00</w:t>
            </w:r>
          </w:p>
        </w:tc>
        <w:tc>
          <w:tcPr>
            <w:tcW w:w="1276" w:type="dxa"/>
            <w:noWrap/>
            <w:vAlign w:val="center"/>
            <w:hideMark/>
          </w:tcPr>
          <w:p w14:paraId="090BA1D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7.412,87</w:t>
            </w:r>
          </w:p>
        </w:tc>
        <w:tc>
          <w:tcPr>
            <w:tcW w:w="978" w:type="dxa"/>
            <w:noWrap/>
            <w:vAlign w:val="center"/>
            <w:hideMark/>
          </w:tcPr>
          <w:p w14:paraId="1E4B4C7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105,90%</w:t>
            </w:r>
          </w:p>
        </w:tc>
        <w:tc>
          <w:tcPr>
            <w:tcW w:w="1256" w:type="dxa"/>
            <w:gridSpan w:val="2"/>
            <w:noWrap/>
            <w:vAlign w:val="center"/>
            <w:hideMark/>
          </w:tcPr>
          <w:p w14:paraId="49C0D83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-412,87</w:t>
            </w:r>
          </w:p>
        </w:tc>
      </w:tr>
      <w:tr w:rsidR="0085052B" w:rsidRPr="002E5315" w14:paraId="5188EA0B"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3CAAD9E" w14:textId="77777777" w:rsidR="0085052B" w:rsidRPr="002E5315" w:rsidRDefault="0085052B" w:rsidP="0085052B">
            <w:pPr>
              <w:jc w:val="right"/>
              <w:rPr>
                <w:rFonts w:cs="Calibri"/>
                <w:color w:val="000000"/>
                <w:sz w:val="16"/>
                <w:szCs w:val="16"/>
              </w:rPr>
            </w:pPr>
            <w:r w:rsidRPr="002E5315">
              <w:rPr>
                <w:rFonts w:cs="Calibri"/>
                <w:color w:val="000000"/>
                <w:sz w:val="16"/>
                <w:szCs w:val="16"/>
              </w:rPr>
              <w:t>323</w:t>
            </w:r>
          </w:p>
        </w:tc>
        <w:tc>
          <w:tcPr>
            <w:tcW w:w="3463" w:type="dxa"/>
            <w:noWrap/>
            <w:vAlign w:val="center"/>
            <w:hideMark/>
          </w:tcPr>
          <w:p w14:paraId="41737C1C"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Rashodi za usluge</w:t>
            </w:r>
          </w:p>
        </w:tc>
        <w:tc>
          <w:tcPr>
            <w:tcW w:w="1214" w:type="dxa"/>
            <w:noWrap/>
            <w:vAlign w:val="center"/>
            <w:hideMark/>
          </w:tcPr>
          <w:p w14:paraId="066D25C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527.000,00</w:t>
            </w:r>
          </w:p>
        </w:tc>
        <w:tc>
          <w:tcPr>
            <w:tcW w:w="1276" w:type="dxa"/>
            <w:noWrap/>
            <w:vAlign w:val="center"/>
            <w:hideMark/>
          </w:tcPr>
          <w:p w14:paraId="244FE4F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456.997,50</w:t>
            </w:r>
          </w:p>
        </w:tc>
        <w:tc>
          <w:tcPr>
            <w:tcW w:w="978" w:type="dxa"/>
            <w:noWrap/>
            <w:vAlign w:val="center"/>
            <w:hideMark/>
          </w:tcPr>
          <w:p w14:paraId="280FBA1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86,72%</w:t>
            </w:r>
          </w:p>
        </w:tc>
        <w:tc>
          <w:tcPr>
            <w:tcW w:w="1256" w:type="dxa"/>
            <w:gridSpan w:val="2"/>
            <w:noWrap/>
            <w:vAlign w:val="center"/>
            <w:hideMark/>
          </w:tcPr>
          <w:p w14:paraId="7E63B0F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70.002,50</w:t>
            </w:r>
          </w:p>
        </w:tc>
      </w:tr>
      <w:tr w:rsidR="0085052B" w:rsidRPr="002E5315" w14:paraId="52F28751"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0C877AA5" w14:textId="77777777" w:rsidR="0085052B" w:rsidRPr="002E5315" w:rsidRDefault="0085052B" w:rsidP="0085052B">
            <w:pPr>
              <w:jc w:val="right"/>
              <w:rPr>
                <w:rFonts w:cs="Calibri"/>
                <w:color w:val="000000"/>
                <w:sz w:val="16"/>
                <w:szCs w:val="16"/>
              </w:rPr>
            </w:pPr>
            <w:r w:rsidRPr="002E5315">
              <w:rPr>
                <w:rFonts w:cs="Calibri"/>
                <w:color w:val="000000"/>
                <w:sz w:val="16"/>
                <w:szCs w:val="16"/>
              </w:rPr>
              <w:t>3231</w:t>
            </w:r>
          </w:p>
        </w:tc>
        <w:tc>
          <w:tcPr>
            <w:tcW w:w="3463" w:type="dxa"/>
            <w:noWrap/>
            <w:vAlign w:val="center"/>
            <w:hideMark/>
          </w:tcPr>
          <w:p w14:paraId="4478CCD4"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Usluge telefona, pošte i prijevoza</w:t>
            </w:r>
          </w:p>
        </w:tc>
        <w:tc>
          <w:tcPr>
            <w:tcW w:w="1214" w:type="dxa"/>
            <w:noWrap/>
            <w:vAlign w:val="center"/>
            <w:hideMark/>
          </w:tcPr>
          <w:p w14:paraId="6956C66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70.000,00</w:t>
            </w:r>
          </w:p>
        </w:tc>
        <w:tc>
          <w:tcPr>
            <w:tcW w:w="1276" w:type="dxa"/>
            <w:noWrap/>
            <w:vAlign w:val="center"/>
            <w:hideMark/>
          </w:tcPr>
          <w:p w14:paraId="4105E15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55.241,11</w:t>
            </w:r>
          </w:p>
        </w:tc>
        <w:tc>
          <w:tcPr>
            <w:tcW w:w="978" w:type="dxa"/>
            <w:noWrap/>
            <w:vAlign w:val="center"/>
            <w:hideMark/>
          </w:tcPr>
          <w:p w14:paraId="19A1A4F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78,92%</w:t>
            </w:r>
          </w:p>
        </w:tc>
        <w:tc>
          <w:tcPr>
            <w:tcW w:w="1256" w:type="dxa"/>
            <w:gridSpan w:val="2"/>
            <w:noWrap/>
            <w:vAlign w:val="center"/>
            <w:hideMark/>
          </w:tcPr>
          <w:p w14:paraId="6943391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14.758,89</w:t>
            </w:r>
          </w:p>
        </w:tc>
      </w:tr>
      <w:tr w:rsidR="0085052B" w:rsidRPr="002E5315" w14:paraId="48C3D0DD"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D3E0558" w14:textId="77777777" w:rsidR="0085052B" w:rsidRPr="002E5315" w:rsidRDefault="0085052B" w:rsidP="0085052B">
            <w:pPr>
              <w:jc w:val="right"/>
              <w:rPr>
                <w:rFonts w:cs="Calibri"/>
                <w:color w:val="000000"/>
                <w:sz w:val="16"/>
                <w:szCs w:val="16"/>
              </w:rPr>
            </w:pPr>
            <w:r w:rsidRPr="002E5315">
              <w:rPr>
                <w:rFonts w:cs="Calibri"/>
                <w:color w:val="000000"/>
                <w:sz w:val="16"/>
                <w:szCs w:val="16"/>
              </w:rPr>
              <w:t>3232</w:t>
            </w:r>
          </w:p>
        </w:tc>
        <w:tc>
          <w:tcPr>
            <w:tcW w:w="3463" w:type="dxa"/>
            <w:noWrap/>
            <w:vAlign w:val="center"/>
            <w:hideMark/>
          </w:tcPr>
          <w:p w14:paraId="0F5FCF6C"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Usluge tekućeg i investicijskog održavanja</w:t>
            </w:r>
          </w:p>
        </w:tc>
        <w:tc>
          <w:tcPr>
            <w:tcW w:w="1214" w:type="dxa"/>
            <w:noWrap/>
            <w:vAlign w:val="center"/>
            <w:hideMark/>
          </w:tcPr>
          <w:p w14:paraId="69A51C8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4.000,00</w:t>
            </w:r>
          </w:p>
        </w:tc>
        <w:tc>
          <w:tcPr>
            <w:tcW w:w="1276" w:type="dxa"/>
            <w:noWrap/>
            <w:vAlign w:val="center"/>
            <w:hideMark/>
          </w:tcPr>
          <w:p w14:paraId="7E444D0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1.316,33</w:t>
            </w:r>
          </w:p>
        </w:tc>
        <w:tc>
          <w:tcPr>
            <w:tcW w:w="978" w:type="dxa"/>
            <w:noWrap/>
            <w:vAlign w:val="center"/>
            <w:hideMark/>
          </w:tcPr>
          <w:p w14:paraId="1D4B9AD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32,91%</w:t>
            </w:r>
          </w:p>
        </w:tc>
        <w:tc>
          <w:tcPr>
            <w:tcW w:w="1256" w:type="dxa"/>
            <w:gridSpan w:val="2"/>
            <w:noWrap/>
            <w:vAlign w:val="center"/>
            <w:hideMark/>
          </w:tcPr>
          <w:p w14:paraId="787F5A9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2.683,67</w:t>
            </w:r>
          </w:p>
        </w:tc>
      </w:tr>
      <w:tr w:rsidR="0085052B" w:rsidRPr="002E5315" w14:paraId="4C82B922"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B307F23" w14:textId="77777777" w:rsidR="0085052B" w:rsidRPr="002E5315" w:rsidRDefault="0085052B" w:rsidP="0085052B">
            <w:pPr>
              <w:jc w:val="right"/>
              <w:rPr>
                <w:rFonts w:cs="Calibri"/>
                <w:color w:val="000000"/>
                <w:sz w:val="16"/>
                <w:szCs w:val="16"/>
              </w:rPr>
            </w:pPr>
            <w:r w:rsidRPr="002E5315">
              <w:rPr>
                <w:rFonts w:cs="Calibri"/>
                <w:color w:val="000000"/>
                <w:sz w:val="16"/>
                <w:szCs w:val="16"/>
              </w:rPr>
              <w:t>3233</w:t>
            </w:r>
          </w:p>
        </w:tc>
        <w:tc>
          <w:tcPr>
            <w:tcW w:w="3463" w:type="dxa"/>
            <w:noWrap/>
            <w:vAlign w:val="center"/>
            <w:hideMark/>
          </w:tcPr>
          <w:p w14:paraId="2E8A14D1"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Usluge promidžbe i informiranja</w:t>
            </w:r>
          </w:p>
        </w:tc>
        <w:tc>
          <w:tcPr>
            <w:tcW w:w="1214" w:type="dxa"/>
            <w:noWrap/>
            <w:vAlign w:val="center"/>
            <w:hideMark/>
          </w:tcPr>
          <w:p w14:paraId="024D6B2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17.000,00</w:t>
            </w:r>
          </w:p>
        </w:tc>
        <w:tc>
          <w:tcPr>
            <w:tcW w:w="1276" w:type="dxa"/>
            <w:noWrap/>
            <w:vAlign w:val="center"/>
            <w:hideMark/>
          </w:tcPr>
          <w:p w14:paraId="6F134BE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17.318,75</w:t>
            </w:r>
          </w:p>
        </w:tc>
        <w:tc>
          <w:tcPr>
            <w:tcW w:w="978" w:type="dxa"/>
            <w:noWrap/>
            <w:vAlign w:val="center"/>
            <w:hideMark/>
          </w:tcPr>
          <w:p w14:paraId="52535C8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101,88%</w:t>
            </w:r>
          </w:p>
        </w:tc>
        <w:tc>
          <w:tcPr>
            <w:tcW w:w="1256" w:type="dxa"/>
            <w:gridSpan w:val="2"/>
            <w:noWrap/>
            <w:vAlign w:val="center"/>
            <w:hideMark/>
          </w:tcPr>
          <w:p w14:paraId="631234D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-318,75</w:t>
            </w:r>
          </w:p>
        </w:tc>
      </w:tr>
      <w:tr w:rsidR="0085052B" w:rsidRPr="002E5315" w14:paraId="4501A917"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4E0525B1" w14:textId="77777777" w:rsidR="0085052B" w:rsidRPr="002E5315" w:rsidRDefault="0085052B" w:rsidP="0085052B">
            <w:pPr>
              <w:jc w:val="right"/>
              <w:rPr>
                <w:rFonts w:cs="Calibri"/>
                <w:color w:val="000000"/>
                <w:sz w:val="16"/>
                <w:szCs w:val="16"/>
              </w:rPr>
            </w:pPr>
            <w:r w:rsidRPr="002E5315">
              <w:rPr>
                <w:rFonts w:cs="Calibri"/>
                <w:color w:val="000000"/>
                <w:sz w:val="16"/>
                <w:szCs w:val="16"/>
              </w:rPr>
              <w:t>3234</w:t>
            </w:r>
          </w:p>
        </w:tc>
        <w:tc>
          <w:tcPr>
            <w:tcW w:w="3463" w:type="dxa"/>
            <w:noWrap/>
            <w:vAlign w:val="center"/>
            <w:hideMark/>
          </w:tcPr>
          <w:p w14:paraId="3683D70F"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Komunalne usluge</w:t>
            </w:r>
          </w:p>
        </w:tc>
        <w:tc>
          <w:tcPr>
            <w:tcW w:w="1214" w:type="dxa"/>
            <w:noWrap/>
            <w:vAlign w:val="center"/>
            <w:hideMark/>
          </w:tcPr>
          <w:p w14:paraId="7ADE398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13.000,00</w:t>
            </w:r>
          </w:p>
        </w:tc>
        <w:tc>
          <w:tcPr>
            <w:tcW w:w="1276" w:type="dxa"/>
            <w:noWrap/>
            <w:vAlign w:val="center"/>
            <w:hideMark/>
          </w:tcPr>
          <w:p w14:paraId="3A52038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10.996,98</w:t>
            </w:r>
          </w:p>
        </w:tc>
        <w:tc>
          <w:tcPr>
            <w:tcW w:w="978" w:type="dxa"/>
            <w:noWrap/>
            <w:vAlign w:val="center"/>
            <w:hideMark/>
          </w:tcPr>
          <w:p w14:paraId="775D3152"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84,59%</w:t>
            </w:r>
          </w:p>
        </w:tc>
        <w:tc>
          <w:tcPr>
            <w:tcW w:w="1256" w:type="dxa"/>
            <w:gridSpan w:val="2"/>
            <w:noWrap/>
            <w:vAlign w:val="center"/>
            <w:hideMark/>
          </w:tcPr>
          <w:p w14:paraId="4D39FF3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2.003,02</w:t>
            </w:r>
          </w:p>
        </w:tc>
      </w:tr>
      <w:tr w:rsidR="0085052B" w:rsidRPr="002E5315" w14:paraId="34FF2D79"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6BC0C0B4" w14:textId="77777777" w:rsidR="0085052B" w:rsidRPr="002E5315" w:rsidRDefault="0085052B" w:rsidP="0085052B">
            <w:pPr>
              <w:jc w:val="right"/>
              <w:rPr>
                <w:rFonts w:cs="Calibri"/>
                <w:color w:val="000000"/>
                <w:sz w:val="16"/>
                <w:szCs w:val="16"/>
              </w:rPr>
            </w:pPr>
            <w:r w:rsidRPr="002E5315">
              <w:rPr>
                <w:rFonts w:cs="Calibri"/>
                <w:color w:val="000000"/>
                <w:sz w:val="16"/>
                <w:szCs w:val="16"/>
              </w:rPr>
              <w:t>3235</w:t>
            </w:r>
          </w:p>
        </w:tc>
        <w:tc>
          <w:tcPr>
            <w:tcW w:w="3463" w:type="dxa"/>
            <w:noWrap/>
            <w:vAlign w:val="center"/>
            <w:hideMark/>
          </w:tcPr>
          <w:p w14:paraId="5CADA210"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Zakupnine i najamnine</w:t>
            </w:r>
          </w:p>
        </w:tc>
        <w:tc>
          <w:tcPr>
            <w:tcW w:w="1214" w:type="dxa"/>
            <w:noWrap/>
            <w:vAlign w:val="center"/>
            <w:hideMark/>
          </w:tcPr>
          <w:p w14:paraId="0C2F369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175.000,00</w:t>
            </w:r>
          </w:p>
        </w:tc>
        <w:tc>
          <w:tcPr>
            <w:tcW w:w="1276" w:type="dxa"/>
            <w:noWrap/>
            <w:vAlign w:val="center"/>
            <w:hideMark/>
          </w:tcPr>
          <w:p w14:paraId="0A4D7B6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161.698,32</w:t>
            </w:r>
          </w:p>
        </w:tc>
        <w:tc>
          <w:tcPr>
            <w:tcW w:w="978" w:type="dxa"/>
            <w:noWrap/>
            <w:vAlign w:val="center"/>
            <w:hideMark/>
          </w:tcPr>
          <w:p w14:paraId="5984A5C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92,40%</w:t>
            </w:r>
          </w:p>
        </w:tc>
        <w:tc>
          <w:tcPr>
            <w:tcW w:w="1256" w:type="dxa"/>
            <w:gridSpan w:val="2"/>
            <w:noWrap/>
            <w:vAlign w:val="center"/>
            <w:hideMark/>
          </w:tcPr>
          <w:p w14:paraId="50D9222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13.301,68</w:t>
            </w:r>
          </w:p>
        </w:tc>
      </w:tr>
      <w:tr w:rsidR="0085052B" w:rsidRPr="002E5315" w14:paraId="35C999F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C803A7F" w14:textId="77777777" w:rsidR="0085052B" w:rsidRPr="002E5315" w:rsidRDefault="0085052B" w:rsidP="0085052B">
            <w:pPr>
              <w:jc w:val="right"/>
              <w:rPr>
                <w:rFonts w:cs="Calibri"/>
                <w:color w:val="000000"/>
                <w:sz w:val="16"/>
                <w:szCs w:val="16"/>
              </w:rPr>
            </w:pPr>
            <w:r w:rsidRPr="002E5315">
              <w:rPr>
                <w:rFonts w:cs="Calibri"/>
                <w:color w:val="000000"/>
                <w:sz w:val="16"/>
                <w:szCs w:val="16"/>
              </w:rPr>
              <w:t>3236</w:t>
            </w:r>
          </w:p>
        </w:tc>
        <w:tc>
          <w:tcPr>
            <w:tcW w:w="3463" w:type="dxa"/>
            <w:noWrap/>
            <w:vAlign w:val="center"/>
            <w:hideMark/>
          </w:tcPr>
          <w:p w14:paraId="1E50F52D"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Zdravstvene i veterinarske usluge</w:t>
            </w:r>
          </w:p>
        </w:tc>
        <w:tc>
          <w:tcPr>
            <w:tcW w:w="1214" w:type="dxa"/>
            <w:noWrap/>
            <w:vAlign w:val="center"/>
            <w:hideMark/>
          </w:tcPr>
          <w:p w14:paraId="22DA8D6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4.000,00</w:t>
            </w:r>
          </w:p>
        </w:tc>
        <w:tc>
          <w:tcPr>
            <w:tcW w:w="1276" w:type="dxa"/>
            <w:noWrap/>
            <w:vAlign w:val="center"/>
            <w:hideMark/>
          </w:tcPr>
          <w:p w14:paraId="35704C6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2.787,50</w:t>
            </w:r>
          </w:p>
        </w:tc>
        <w:tc>
          <w:tcPr>
            <w:tcW w:w="978" w:type="dxa"/>
            <w:noWrap/>
            <w:vAlign w:val="center"/>
            <w:hideMark/>
          </w:tcPr>
          <w:p w14:paraId="303052B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69,69%</w:t>
            </w:r>
          </w:p>
        </w:tc>
        <w:tc>
          <w:tcPr>
            <w:tcW w:w="1256" w:type="dxa"/>
            <w:gridSpan w:val="2"/>
            <w:noWrap/>
            <w:vAlign w:val="center"/>
            <w:hideMark/>
          </w:tcPr>
          <w:p w14:paraId="48E289B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1.212,50</w:t>
            </w:r>
          </w:p>
        </w:tc>
      </w:tr>
      <w:tr w:rsidR="0085052B" w:rsidRPr="002E5315" w14:paraId="485F4859"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223FE22" w14:textId="77777777" w:rsidR="0085052B" w:rsidRPr="002E5315" w:rsidRDefault="0085052B" w:rsidP="0085052B">
            <w:pPr>
              <w:jc w:val="right"/>
              <w:rPr>
                <w:rFonts w:cs="Calibri"/>
                <w:color w:val="000000"/>
                <w:sz w:val="16"/>
                <w:szCs w:val="16"/>
              </w:rPr>
            </w:pPr>
            <w:r w:rsidRPr="002E5315">
              <w:rPr>
                <w:rFonts w:cs="Calibri"/>
                <w:color w:val="000000"/>
                <w:sz w:val="16"/>
                <w:szCs w:val="16"/>
              </w:rPr>
              <w:t>3237</w:t>
            </w:r>
          </w:p>
        </w:tc>
        <w:tc>
          <w:tcPr>
            <w:tcW w:w="3463" w:type="dxa"/>
            <w:noWrap/>
            <w:vAlign w:val="center"/>
            <w:hideMark/>
          </w:tcPr>
          <w:p w14:paraId="09D925B0"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Intelektualne i osobne usluge</w:t>
            </w:r>
          </w:p>
        </w:tc>
        <w:tc>
          <w:tcPr>
            <w:tcW w:w="1214" w:type="dxa"/>
            <w:noWrap/>
            <w:vAlign w:val="center"/>
            <w:hideMark/>
          </w:tcPr>
          <w:p w14:paraId="6A87816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102.000,00</w:t>
            </w:r>
          </w:p>
        </w:tc>
        <w:tc>
          <w:tcPr>
            <w:tcW w:w="1276" w:type="dxa"/>
            <w:noWrap/>
            <w:vAlign w:val="center"/>
            <w:hideMark/>
          </w:tcPr>
          <w:p w14:paraId="6B7CAD5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97.323,76</w:t>
            </w:r>
          </w:p>
        </w:tc>
        <w:tc>
          <w:tcPr>
            <w:tcW w:w="978" w:type="dxa"/>
            <w:noWrap/>
            <w:vAlign w:val="center"/>
            <w:hideMark/>
          </w:tcPr>
          <w:p w14:paraId="29133A7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95,42%</w:t>
            </w:r>
          </w:p>
        </w:tc>
        <w:tc>
          <w:tcPr>
            <w:tcW w:w="1256" w:type="dxa"/>
            <w:gridSpan w:val="2"/>
            <w:noWrap/>
            <w:vAlign w:val="center"/>
            <w:hideMark/>
          </w:tcPr>
          <w:p w14:paraId="61B719A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4.676,24</w:t>
            </w:r>
          </w:p>
        </w:tc>
      </w:tr>
      <w:tr w:rsidR="0085052B" w:rsidRPr="002E5315" w14:paraId="5F1065C7"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0A6758C6" w14:textId="77777777" w:rsidR="0085052B" w:rsidRPr="002E5315" w:rsidRDefault="0085052B" w:rsidP="0085052B">
            <w:pPr>
              <w:jc w:val="right"/>
              <w:rPr>
                <w:rFonts w:cs="Calibri"/>
                <w:color w:val="000000"/>
                <w:sz w:val="16"/>
                <w:szCs w:val="16"/>
              </w:rPr>
            </w:pPr>
            <w:r w:rsidRPr="002E5315">
              <w:rPr>
                <w:rFonts w:cs="Calibri"/>
                <w:color w:val="000000"/>
                <w:sz w:val="16"/>
                <w:szCs w:val="16"/>
              </w:rPr>
              <w:t>3238</w:t>
            </w:r>
          </w:p>
        </w:tc>
        <w:tc>
          <w:tcPr>
            <w:tcW w:w="3463" w:type="dxa"/>
            <w:noWrap/>
            <w:vAlign w:val="center"/>
            <w:hideMark/>
          </w:tcPr>
          <w:p w14:paraId="39C5609F"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Računalne usluge</w:t>
            </w:r>
          </w:p>
        </w:tc>
        <w:tc>
          <w:tcPr>
            <w:tcW w:w="1214" w:type="dxa"/>
            <w:noWrap/>
            <w:vAlign w:val="center"/>
            <w:hideMark/>
          </w:tcPr>
          <w:p w14:paraId="6418928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100.000,00</w:t>
            </w:r>
          </w:p>
        </w:tc>
        <w:tc>
          <w:tcPr>
            <w:tcW w:w="1276" w:type="dxa"/>
            <w:noWrap/>
            <w:vAlign w:val="center"/>
            <w:hideMark/>
          </w:tcPr>
          <w:p w14:paraId="1DBAD61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70.792,50</w:t>
            </w:r>
          </w:p>
        </w:tc>
        <w:tc>
          <w:tcPr>
            <w:tcW w:w="978" w:type="dxa"/>
            <w:noWrap/>
            <w:vAlign w:val="center"/>
            <w:hideMark/>
          </w:tcPr>
          <w:p w14:paraId="23B3B99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70,79%</w:t>
            </w:r>
          </w:p>
        </w:tc>
        <w:tc>
          <w:tcPr>
            <w:tcW w:w="1256" w:type="dxa"/>
            <w:gridSpan w:val="2"/>
            <w:noWrap/>
            <w:vAlign w:val="center"/>
            <w:hideMark/>
          </w:tcPr>
          <w:p w14:paraId="40E2FCF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29.207,50</w:t>
            </w:r>
          </w:p>
        </w:tc>
      </w:tr>
      <w:tr w:rsidR="0085052B" w:rsidRPr="002E5315" w14:paraId="7129F970"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31D6467" w14:textId="77777777" w:rsidR="0085052B" w:rsidRPr="002E5315" w:rsidRDefault="0085052B" w:rsidP="0085052B">
            <w:pPr>
              <w:jc w:val="right"/>
              <w:rPr>
                <w:rFonts w:cs="Calibri"/>
                <w:color w:val="000000"/>
                <w:sz w:val="16"/>
                <w:szCs w:val="16"/>
              </w:rPr>
            </w:pPr>
            <w:r w:rsidRPr="002E5315">
              <w:rPr>
                <w:rFonts w:cs="Calibri"/>
                <w:color w:val="000000"/>
                <w:sz w:val="16"/>
                <w:szCs w:val="16"/>
              </w:rPr>
              <w:t>3239</w:t>
            </w:r>
          </w:p>
        </w:tc>
        <w:tc>
          <w:tcPr>
            <w:tcW w:w="3463" w:type="dxa"/>
            <w:noWrap/>
            <w:vAlign w:val="center"/>
            <w:hideMark/>
          </w:tcPr>
          <w:p w14:paraId="69A1867A"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Ostale usluge</w:t>
            </w:r>
          </w:p>
        </w:tc>
        <w:tc>
          <w:tcPr>
            <w:tcW w:w="1214" w:type="dxa"/>
            <w:noWrap/>
            <w:vAlign w:val="center"/>
            <w:hideMark/>
          </w:tcPr>
          <w:p w14:paraId="74B0E5F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42.000,00</w:t>
            </w:r>
          </w:p>
        </w:tc>
        <w:tc>
          <w:tcPr>
            <w:tcW w:w="1276" w:type="dxa"/>
            <w:noWrap/>
            <w:vAlign w:val="center"/>
            <w:hideMark/>
          </w:tcPr>
          <w:p w14:paraId="417300E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39.522,25</w:t>
            </w:r>
          </w:p>
        </w:tc>
        <w:tc>
          <w:tcPr>
            <w:tcW w:w="978" w:type="dxa"/>
            <w:noWrap/>
            <w:vAlign w:val="center"/>
            <w:hideMark/>
          </w:tcPr>
          <w:p w14:paraId="73F7A05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94,10%</w:t>
            </w:r>
          </w:p>
        </w:tc>
        <w:tc>
          <w:tcPr>
            <w:tcW w:w="1256" w:type="dxa"/>
            <w:gridSpan w:val="2"/>
            <w:noWrap/>
            <w:vAlign w:val="center"/>
            <w:hideMark/>
          </w:tcPr>
          <w:p w14:paraId="7DCE5F4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2.477,75</w:t>
            </w:r>
          </w:p>
        </w:tc>
      </w:tr>
      <w:tr w:rsidR="0085052B" w:rsidRPr="002E5315" w14:paraId="03214A7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2532503" w14:textId="77777777" w:rsidR="0085052B" w:rsidRPr="002E5315" w:rsidRDefault="0085052B" w:rsidP="0085052B">
            <w:pPr>
              <w:jc w:val="right"/>
              <w:rPr>
                <w:rFonts w:cs="Calibri"/>
                <w:color w:val="000000"/>
                <w:sz w:val="16"/>
                <w:szCs w:val="16"/>
              </w:rPr>
            </w:pPr>
            <w:r w:rsidRPr="002E5315">
              <w:rPr>
                <w:rFonts w:cs="Calibri"/>
                <w:color w:val="000000"/>
                <w:sz w:val="16"/>
                <w:szCs w:val="16"/>
              </w:rPr>
              <w:t>324</w:t>
            </w:r>
          </w:p>
        </w:tc>
        <w:tc>
          <w:tcPr>
            <w:tcW w:w="3463" w:type="dxa"/>
            <w:noWrap/>
            <w:vAlign w:val="center"/>
            <w:hideMark/>
          </w:tcPr>
          <w:p w14:paraId="7ABFD082"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Naknade troškova osobama izvan radnog odnosa</w:t>
            </w:r>
          </w:p>
        </w:tc>
        <w:tc>
          <w:tcPr>
            <w:tcW w:w="1214" w:type="dxa"/>
            <w:noWrap/>
            <w:vAlign w:val="center"/>
            <w:hideMark/>
          </w:tcPr>
          <w:p w14:paraId="2BAF052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10.000,00</w:t>
            </w:r>
          </w:p>
        </w:tc>
        <w:tc>
          <w:tcPr>
            <w:tcW w:w="1276" w:type="dxa"/>
            <w:noWrap/>
            <w:vAlign w:val="center"/>
            <w:hideMark/>
          </w:tcPr>
          <w:p w14:paraId="7464D79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sz w:val="16"/>
                <w:szCs w:val="16"/>
              </w:rPr>
              <w:t>8.788,48</w:t>
            </w:r>
          </w:p>
        </w:tc>
        <w:tc>
          <w:tcPr>
            <w:tcW w:w="978" w:type="dxa"/>
            <w:noWrap/>
            <w:vAlign w:val="center"/>
            <w:hideMark/>
          </w:tcPr>
          <w:p w14:paraId="5BAEDD4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87,88%</w:t>
            </w:r>
          </w:p>
        </w:tc>
        <w:tc>
          <w:tcPr>
            <w:tcW w:w="1256" w:type="dxa"/>
            <w:gridSpan w:val="2"/>
            <w:noWrap/>
            <w:vAlign w:val="center"/>
            <w:hideMark/>
          </w:tcPr>
          <w:p w14:paraId="5E6C7DC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1.211,52</w:t>
            </w:r>
          </w:p>
        </w:tc>
      </w:tr>
      <w:tr w:rsidR="0085052B" w:rsidRPr="002E5315" w14:paraId="7581807B"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2F3208DA" w14:textId="77777777" w:rsidR="0085052B" w:rsidRPr="002E5315" w:rsidRDefault="0085052B" w:rsidP="0085052B">
            <w:pPr>
              <w:jc w:val="right"/>
              <w:rPr>
                <w:rFonts w:cs="Calibri"/>
                <w:color w:val="000000"/>
                <w:sz w:val="16"/>
                <w:szCs w:val="16"/>
              </w:rPr>
            </w:pPr>
            <w:r w:rsidRPr="002E5315">
              <w:rPr>
                <w:rFonts w:cs="Calibri"/>
                <w:color w:val="000000"/>
                <w:sz w:val="16"/>
                <w:szCs w:val="16"/>
              </w:rPr>
              <w:t>3241</w:t>
            </w:r>
          </w:p>
        </w:tc>
        <w:tc>
          <w:tcPr>
            <w:tcW w:w="3463" w:type="dxa"/>
            <w:noWrap/>
            <w:vAlign w:val="center"/>
            <w:hideMark/>
          </w:tcPr>
          <w:p w14:paraId="2D8A5C54"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Naknade troškova osobama izvan radnog odnosa</w:t>
            </w:r>
          </w:p>
        </w:tc>
        <w:tc>
          <w:tcPr>
            <w:tcW w:w="1214" w:type="dxa"/>
            <w:noWrap/>
            <w:vAlign w:val="center"/>
            <w:hideMark/>
          </w:tcPr>
          <w:p w14:paraId="3004D7C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10.000,00</w:t>
            </w:r>
          </w:p>
        </w:tc>
        <w:tc>
          <w:tcPr>
            <w:tcW w:w="1276" w:type="dxa"/>
            <w:noWrap/>
            <w:vAlign w:val="center"/>
            <w:hideMark/>
          </w:tcPr>
          <w:p w14:paraId="44D7089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8.788,48</w:t>
            </w:r>
          </w:p>
        </w:tc>
        <w:tc>
          <w:tcPr>
            <w:tcW w:w="978" w:type="dxa"/>
            <w:noWrap/>
            <w:vAlign w:val="center"/>
            <w:hideMark/>
          </w:tcPr>
          <w:p w14:paraId="087283F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87,88%</w:t>
            </w:r>
          </w:p>
        </w:tc>
        <w:tc>
          <w:tcPr>
            <w:tcW w:w="1256" w:type="dxa"/>
            <w:gridSpan w:val="2"/>
            <w:noWrap/>
            <w:vAlign w:val="center"/>
            <w:hideMark/>
          </w:tcPr>
          <w:p w14:paraId="2C3E850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1.211,52</w:t>
            </w:r>
          </w:p>
        </w:tc>
      </w:tr>
      <w:tr w:rsidR="0085052B" w:rsidRPr="002E5315" w14:paraId="1FAA1FE0"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042AD7F6" w14:textId="77777777" w:rsidR="0085052B" w:rsidRPr="002E5315" w:rsidRDefault="0085052B" w:rsidP="0085052B">
            <w:pPr>
              <w:jc w:val="right"/>
              <w:rPr>
                <w:rFonts w:cs="Calibri"/>
                <w:color w:val="000000"/>
                <w:sz w:val="16"/>
                <w:szCs w:val="16"/>
              </w:rPr>
            </w:pPr>
            <w:r w:rsidRPr="002E5315">
              <w:rPr>
                <w:rFonts w:cs="Calibri"/>
                <w:color w:val="000000"/>
                <w:sz w:val="16"/>
                <w:szCs w:val="16"/>
              </w:rPr>
              <w:t>329</w:t>
            </w:r>
          </w:p>
        </w:tc>
        <w:tc>
          <w:tcPr>
            <w:tcW w:w="3463" w:type="dxa"/>
            <w:noWrap/>
            <w:vAlign w:val="center"/>
            <w:hideMark/>
          </w:tcPr>
          <w:p w14:paraId="7AABB3C8"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 xml:space="preserve">Ostali nespomenuti rashodi poslovanja </w:t>
            </w:r>
          </w:p>
        </w:tc>
        <w:tc>
          <w:tcPr>
            <w:tcW w:w="1214" w:type="dxa"/>
            <w:noWrap/>
            <w:vAlign w:val="center"/>
            <w:hideMark/>
          </w:tcPr>
          <w:p w14:paraId="281D016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38.000,00</w:t>
            </w:r>
          </w:p>
        </w:tc>
        <w:tc>
          <w:tcPr>
            <w:tcW w:w="1276" w:type="dxa"/>
            <w:noWrap/>
            <w:vAlign w:val="center"/>
            <w:hideMark/>
          </w:tcPr>
          <w:p w14:paraId="7BCCC9E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24.621,01</w:t>
            </w:r>
          </w:p>
        </w:tc>
        <w:tc>
          <w:tcPr>
            <w:tcW w:w="978" w:type="dxa"/>
            <w:noWrap/>
            <w:vAlign w:val="center"/>
            <w:hideMark/>
          </w:tcPr>
          <w:p w14:paraId="7A698C4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64,79%</w:t>
            </w:r>
          </w:p>
        </w:tc>
        <w:tc>
          <w:tcPr>
            <w:tcW w:w="1256" w:type="dxa"/>
            <w:gridSpan w:val="2"/>
            <w:noWrap/>
            <w:vAlign w:val="center"/>
            <w:hideMark/>
          </w:tcPr>
          <w:p w14:paraId="3E38AF4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13.378,99</w:t>
            </w:r>
          </w:p>
        </w:tc>
      </w:tr>
      <w:tr w:rsidR="0085052B" w:rsidRPr="002E5315" w14:paraId="39E03038"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C95945D" w14:textId="77777777" w:rsidR="0085052B" w:rsidRPr="002E5315" w:rsidRDefault="0085052B" w:rsidP="0085052B">
            <w:pPr>
              <w:jc w:val="right"/>
              <w:rPr>
                <w:rFonts w:cs="Calibri"/>
                <w:color w:val="000000"/>
                <w:sz w:val="16"/>
                <w:szCs w:val="16"/>
              </w:rPr>
            </w:pPr>
            <w:r w:rsidRPr="002E5315">
              <w:rPr>
                <w:rFonts w:cs="Calibri"/>
                <w:color w:val="000000"/>
                <w:sz w:val="16"/>
                <w:szCs w:val="16"/>
              </w:rPr>
              <w:t>3292</w:t>
            </w:r>
          </w:p>
        </w:tc>
        <w:tc>
          <w:tcPr>
            <w:tcW w:w="3463" w:type="dxa"/>
            <w:noWrap/>
            <w:vAlign w:val="center"/>
            <w:hideMark/>
          </w:tcPr>
          <w:p w14:paraId="71699244"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Premije osiguranja</w:t>
            </w:r>
          </w:p>
        </w:tc>
        <w:tc>
          <w:tcPr>
            <w:tcW w:w="1214" w:type="dxa"/>
            <w:noWrap/>
            <w:vAlign w:val="center"/>
            <w:hideMark/>
          </w:tcPr>
          <w:p w14:paraId="7A1D3CC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1.000,00</w:t>
            </w:r>
          </w:p>
        </w:tc>
        <w:tc>
          <w:tcPr>
            <w:tcW w:w="1276" w:type="dxa"/>
            <w:noWrap/>
            <w:vAlign w:val="center"/>
            <w:hideMark/>
          </w:tcPr>
          <w:p w14:paraId="4EB184B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978" w:type="dxa"/>
            <w:noWrap/>
            <w:vAlign w:val="center"/>
            <w:hideMark/>
          </w:tcPr>
          <w:p w14:paraId="0B3D6C6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1256" w:type="dxa"/>
            <w:gridSpan w:val="2"/>
            <w:noWrap/>
            <w:vAlign w:val="center"/>
            <w:hideMark/>
          </w:tcPr>
          <w:p w14:paraId="4E73571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1.000,00</w:t>
            </w:r>
          </w:p>
        </w:tc>
      </w:tr>
      <w:tr w:rsidR="0085052B" w:rsidRPr="002E5315" w14:paraId="18340C4B"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68A6B6A6" w14:textId="77777777" w:rsidR="0085052B" w:rsidRPr="002E5315" w:rsidRDefault="0085052B" w:rsidP="0085052B">
            <w:pPr>
              <w:jc w:val="right"/>
              <w:rPr>
                <w:rFonts w:cs="Calibri"/>
                <w:color w:val="000000"/>
                <w:sz w:val="16"/>
                <w:szCs w:val="16"/>
              </w:rPr>
            </w:pPr>
            <w:r w:rsidRPr="002E5315">
              <w:rPr>
                <w:rFonts w:cs="Calibri"/>
                <w:color w:val="000000"/>
                <w:sz w:val="16"/>
                <w:szCs w:val="16"/>
              </w:rPr>
              <w:t>3293</w:t>
            </w:r>
          </w:p>
        </w:tc>
        <w:tc>
          <w:tcPr>
            <w:tcW w:w="3463" w:type="dxa"/>
            <w:noWrap/>
            <w:vAlign w:val="center"/>
            <w:hideMark/>
          </w:tcPr>
          <w:p w14:paraId="5EB9E421"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Reprezentacija</w:t>
            </w:r>
          </w:p>
        </w:tc>
        <w:tc>
          <w:tcPr>
            <w:tcW w:w="1214" w:type="dxa"/>
            <w:noWrap/>
            <w:vAlign w:val="center"/>
            <w:hideMark/>
          </w:tcPr>
          <w:p w14:paraId="1C71C06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15.000,00</w:t>
            </w:r>
          </w:p>
        </w:tc>
        <w:tc>
          <w:tcPr>
            <w:tcW w:w="1276" w:type="dxa"/>
            <w:noWrap/>
            <w:vAlign w:val="center"/>
            <w:hideMark/>
          </w:tcPr>
          <w:p w14:paraId="52EFC16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13.428,51</w:t>
            </w:r>
          </w:p>
        </w:tc>
        <w:tc>
          <w:tcPr>
            <w:tcW w:w="978" w:type="dxa"/>
            <w:noWrap/>
            <w:vAlign w:val="center"/>
            <w:hideMark/>
          </w:tcPr>
          <w:p w14:paraId="52DC7CC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89,52%</w:t>
            </w:r>
          </w:p>
        </w:tc>
        <w:tc>
          <w:tcPr>
            <w:tcW w:w="1256" w:type="dxa"/>
            <w:gridSpan w:val="2"/>
            <w:noWrap/>
            <w:vAlign w:val="center"/>
            <w:hideMark/>
          </w:tcPr>
          <w:p w14:paraId="6FAB42F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1.571,49</w:t>
            </w:r>
          </w:p>
        </w:tc>
      </w:tr>
      <w:tr w:rsidR="0085052B" w:rsidRPr="002E5315" w14:paraId="4CD5D676"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1FC84CB9" w14:textId="77777777" w:rsidR="0085052B" w:rsidRPr="002E5315" w:rsidRDefault="0085052B" w:rsidP="0085052B">
            <w:pPr>
              <w:jc w:val="right"/>
              <w:rPr>
                <w:rFonts w:cs="Calibri"/>
                <w:color w:val="000000"/>
                <w:sz w:val="16"/>
                <w:szCs w:val="16"/>
              </w:rPr>
            </w:pPr>
            <w:r w:rsidRPr="002E5315">
              <w:rPr>
                <w:rFonts w:cs="Calibri"/>
                <w:color w:val="000000"/>
                <w:sz w:val="16"/>
                <w:szCs w:val="16"/>
              </w:rPr>
              <w:t>3296</w:t>
            </w:r>
          </w:p>
        </w:tc>
        <w:tc>
          <w:tcPr>
            <w:tcW w:w="3463" w:type="dxa"/>
            <w:noWrap/>
            <w:vAlign w:val="center"/>
          </w:tcPr>
          <w:p w14:paraId="623426E1"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 xml:space="preserve">Troškovi sudskih postupaka </w:t>
            </w:r>
          </w:p>
        </w:tc>
        <w:tc>
          <w:tcPr>
            <w:tcW w:w="1214" w:type="dxa"/>
            <w:noWrap/>
            <w:vAlign w:val="center"/>
          </w:tcPr>
          <w:p w14:paraId="05C45F2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20.000,00</w:t>
            </w:r>
          </w:p>
        </w:tc>
        <w:tc>
          <w:tcPr>
            <w:tcW w:w="1276" w:type="dxa"/>
            <w:noWrap/>
            <w:vAlign w:val="center"/>
          </w:tcPr>
          <w:p w14:paraId="5982433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10.625,00</w:t>
            </w:r>
          </w:p>
        </w:tc>
        <w:tc>
          <w:tcPr>
            <w:tcW w:w="978" w:type="dxa"/>
            <w:noWrap/>
            <w:vAlign w:val="center"/>
          </w:tcPr>
          <w:p w14:paraId="755960B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53,13%</w:t>
            </w:r>
          </w:p>
        </w:tc>
        <w:tc>
          <w:tcPr>
            <w:tcW w:w="1256" w:type="dxa"/>
            <w:gridSpan w:val="2"/>
            <w:noWrap/>
            <w:vAlign w:val="center"/>
          </w:tcPr>
          <w:p w14:paraId="00E0D84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9.375,00</w:t>
            </w:r>
          </w:p>
        </w:tc>
      </w:tr>
      <w:tr w:rsidR="0085052B" w:rsidRPr="002E5315" w14:paraId="3CEF4E5F"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42914F53" w14:textId="77777777" w:rsidR="0085052B" w:rsidRPr="002E5315" w:rsidRDefault="0085052B" w:rsidP="0085052B">
            <w:pPr>
              <w:jc w:val="right"/>
              <w:rPr>
                <w:rFonts w:cs="Calibri"/>
                <w:color w:val="000000"/>
                <w:sz w:val="16"/>
                <w:szCs w:val="16"/>
              </w:rPr>
            </w:pPr>
            <w:r w:rsidRPr="002E5315">
              <w:rPr>
                <w:rFonts w:cs="Calibri"/>
                <w:color w:val="000000"/>
                <w:sz w:val="16"/>
                <w:szCs w:val="16"/>
              </w:rPr>
              <w:t>3299</w:t>
            </w:r>
          </w:p>
        </w:tc>
        <w:tc>
          <w:tcPr>
            <w:tcW w:w="3463" w:type="dxa"/>
            <w:noWrap/>
            <w:vAlign w:val="center"/>
            <w:hideMark/>
          </w:tcPr>
          <w:p w14:paraId="5B9CFC04"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 xml:space="preserve">Ostali nespomenuti rashodi poslovanja </w:t>
            </w:r>
          </w:p>
        </w:tc>
        <w:tc>
          <w:tcPr>
            <w:tcW w:w="1214" w:type="dxa"/>
            <w:noWrap/>
            <w:vAlign w:val="center"/>
            <w:hideMark/>
          </w:tcPr>
          <w:p w14:paraId="307D0FA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2.000,00</w:t>
            </w:r>
          </w:p>
        </w:tc>
        <w:tc>
          <w:tcPr>
            <w:tcW w:w="1276" w:type="dxa"/>
            <w:noWrap/>
            <w:vAlign w:val="center"/>
            <w:hideMark/>
          </w:tcPr>
          <w:p w14:paraId="48CD55B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567,50</w:t>
            </w:r>
          </w:p>
        </w:tc>
        <w:tc>
          <w:tcPr>
            <w:tcW w:w="978" w:type="dxa"/>
            <w:noWrap/>
            <w:vAlign w:val="center"/>
            <w:hideMark/>
          </w:tcPr>
          <w:p w14:paraId="085E89E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28,38%</w:t>
            </w:r>
          </w:p>
        </w:tc>
        <w:tc>
          <w:tcPr>
            <w:tcW w:w="1256" w:type="dxa"/>
            <w:gridSpan w:val="2"/>
            <w:noWrap/>
            <w:vAlign w:val="center"/>
            <w:hideMark/>
          </w:tcPr>
          <w:p w14:paraId="2DDE1C4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1.432,50</w:t>
            </w:r>
          </w:p>
        </w:tc>
      </w:tr>
      <w:tr w:rsidR="0085052B" w:rsidRPr="002E5315" w14:paraId="5FA6A31D"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439E5B0B" w14:textId="77777777" w:rsidR="0085052B" w:rsidRPr="002E5315" w:rsidRDefault="0085052B" w:rsidP="0085052B">
            <w:pPr>
              <w:jc w:val="right"/>
              <w:rPr>
                <w:rFonts w:cs="Calibri"/>
                <w:color w:val="000000"/>
                <w:sz w:val="16"/>
                <w:szCs w:val="16"/>
              </w:rPr>
            </w:pPr>
            <w:r w:rsidRPr="002E5315">
              <w:rPr>
                <w:rFonts w:cs="Calibri"/>
                <w:color w:val="000000"/>
                <w:sz w:val="16"/>
                <w:szCs w:val="16"/>
              </w:rPr>
              <w:t>34</w:t>
            </w:r>
          </w:p>
        </w:tc>
        <w:tc>
          <w:tcPr>
            <w:tcW w:w="3463" w:type="dxa"/>
            <w:noWrap/>
            <w:vAlign w:val="center"/>
            <w:hideMark/>
          </w:tcPr>
          <w:p w14:paraId="2D17883E"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 xml:space="preserve">Financijski rashodi </w:t>
            </w:r>
          </w:p>
        </w:tc>
        <w:tc>
          <w:tcPr>
            <w:tcW w:w="1214" w:type="dxa"/>
            <w:noWrap/>
            <w:vAlign w:val="center"/>
            <w:hideMark/>
          </w:tcPr>
          <w:p w14:paraId="7AD284C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1.000,00</w:t>
            </w:r>
          </w:p>
        </w:tc>
        <w:tc>
          <w:tcPr>
            <w:tcW w:w="1276" w:type="dxa"/>
            <w:noWrap/>
            <w:vAlign w:val="center"/>
            <w:hideMark/>
          </w:tcPr>
          <w:p w14:paraId="793D4A8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350,01</w:t>
            </w:r>
          </w:p>
        </w:tc>
        <w:tc>
          <w:tcPr>
            <w:tcW w:w="978" w:type="dxa"/>
            <w:noWrap/>
            <w:vAlign w:val="center"/>
            <w:hideMark/>
          </w:tcPr>
          <w:p w14:paraId="3F60A40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35,00%</w:t>
            </w:r>
          </w:p>
        </w:tc>
        <w:tc>
          <w:tcPr>
            <w:tcW w:w="1256" w:type="dxa"/>
            <w:gridSpan w:val="2"/>
            <w:noWrap/>
            <w:vAlign w:val="center"/>
            <w:hideMark/>
          </w:tcPr>
          <w:p w14:paraId="7980DCE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649,99</w:t>
            </w:r>
          </w:p>
        </w:tc>
      </w:tr>
      <w:tr w:rsidR="0085052B" w:rsidRPr="002E5315" w14:paraId="77069105"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6CC87A6" w14:textId="77777777" w:rsidR="0085052B" w:rsidRPr="002E5315" w:rsidRDefault="0085052B" w:rsidP="0085052B">
            <w:pPr>
              <w:jc w:val="right"/>
              <w:rPr>
                <w:rFonts w:cs="Calibri"/>
                <w:color w:val="000000"/>
                <w:sz w:val="16"/>
                <w:szCs w:val="16"/>
              </w:rPr>
            </w:pPr>
            <w:r w:rsidRPr="002E5315">
              <w:rPr>
                <w:rFonts w:cs="Calibri"/>
                <w:color w:val="000000"/>
                <w:sz w:val="16"/>
                <w:szCs w:val="16"/>
              </w:rPr>
              <w:t>343</w:t>
            </w:r>
          </w:p>
        </w:tc>
        <w:tc>
          <w:tcPr>
            <w:tcW w:w="3463" w:type="dxa"/>
            <w:noWrap/>
            <w:vAlign w:val="center"/>
            <w:hideMark/>
          </w:tcPr>
          <w:p w14:paraId="3F7CA54D"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Ostali financijski rashodi</w:t>
            </w:r>
          </w:p>
        </w:tc>
        <w:tc>
          <w:tcPr>
            <w:tcW w:w="1214" w:type="dxa"/>
            <w:noWrap/>
            <w:vAlign w:val="center"/>
            <w:hideMark/>
          </w:tcPr>
          <w:p w14:paraId="2BDE451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1.000,00</w:t>
            </w:r>
          </w:p>
        </w:tc>
        <w:tc>
          <w:tcPr>
            <w:tcW w:w="1276" w:type="dxa"/>
            <w:noWrap/>
            <w:vAlign w:val="center"/>
            <w:hideMark/>
          </w:tcPr>
          <w:p w14:paraId="090CDC6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350,01</w:t>
            </w:r>
          </w:p>
        </w:tc>
        <w:tc>
          <w:tcPr>
            <w:tcW w:w="978" w:type="dxa"/>
            <w:noWrap/>
            <w:vAlign w:val="center"/>
            <w:hideMark/>
          </w:tcPr>
          <w:p w14:paraId="4D6FD72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35,00%</w:t>
            </w:r>
          </w:p>
        </w:tc>
        <w:tc>
          <w:tcPr>
            <w:tcW w:w="1256" w:type="dxa"/>
            <w:gridSpan w:val="2"/>
            <w:noWrap/>
            <w:vAlign w:val="center"/>
            <w:hideMark/>
          </w:tcPr>
          <w:p w14:paraId="569D991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649,99</w:t>
            </w:r>
          </w:p>
        </w:tc>
      </w:tr>
      <w:tr w:rsidR="0085052B" w:rsidRPr="002E5315" w14:paraId="2312F132"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1F65737" w14:textId="77777777" w:rsidR="0085052B" w:rsidRPr="002E5315" w:rsidRDefault="0085052B" w:rsidP="0085052B">
            <w:pPr>
              <w:jc w:val="right"/>
              <w:rPr>
                <w:rFonts w:cs="Calibri"/>
                <w:color w:val="000000"/>
                <w:sz w:val="16"/>
                <w:szCs w:val="16"/>
              </w:rPr>
            </w:pPr>
            <w:r w:rsidRPr="002E5315">
              <w:rPr>
                <w:rFonts w:cs="Calibri"/>
                <w:color w:val="000000"/>
                <w:sz w:val="16"/>
                <w:szCs w:val="16"/>
              </w:rPr>
              <w:t>3431</w:t>
            </w:r>
          </w:p>
        </w:tc>
        <w:tc>
          <w:tcPr>
            <w:tcW w:w="3463" w:type="dxa"/>
            <w:noWrap/>
            <w:vAlign w:val="center"/>
            <w:hideMark/>
          </w:tcPr>
          <w:p w14:paraId="727CB01F"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Bankarske usluge i usluge platnog prometa</w:t>
            </w:r>
          </w:p>
        </w:tc>
        <w:tc>
          <w:tcPr>
            <w:tcW w:w="1214" w:type="dxa"/>
            <w:noWrap/>
            <w:vAlign w:val="center"/>
            <w:hideMark/>
          </w:tcPr>
          <w:p w14:paraId="347D789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800,00</w:t>
            </w:r>
          </w:p>
        </w:tc>
        <w:tc>
          <w:tcPr>
            <w:tcW w:w="1276" w:type="dxa"/>
            <w:noWrap/>
            <w:vAlign w:val="center"/>
            <w:hideMark/>
          </w:tcPr>
          <w:p w14:paraId="4C8919D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350,00</w:t>
            </w:r>
          </w:p>
        </w:tc>
        <w:tc>
          <w:tcPr>
            <w:tcW w:w="978" w:type="dxa"/>
            <w:noWrap/>
            <w:vAlign w:val="center"/>
            <w:hideMark/>
          </w:tcPr>
          <w:p w14:paraId="42B1422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43,75%</w:t>
            </w:r>
          </w:p>
        </w:tc>
        <w:tc>
          <w:tcPr>
            <w:tcW w:w="1256" w:type="dxa"/>
            <w:gridSpan w:val="2"/>
            <w:noWrap/>
            <w:vAlign w:val="center"/>
            <w:hideMark/>
          </w:tcPr>
          <w:p w14:paraId="254354A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450,00</w:t>
            </w:r>
          </w:p>
        </w:tc>
      </w:tr>
      <w:tr w:rsidR="0085052B" w:rsidRPr="002E5315" w14:paraId="0A4EF96B"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28BBC7EF" w14:textId="77777777" w:rsidR="0085052B" w:rsidRPr="002E5315" w:rsidRDefault="0085052B" w:rsidP="0085052B">
            <w:pPr>
              <w:jc w:val="right"/>
              <w:rPr>
                <w:rFonts w:cs="Calibri"/>
                <w:color w:val="000000"/>
                <w:sz w:val="16"/>
                <w:szCs w:val="16"/>
              </w:rPr>
            </w:pPr>
            <w:r w:rsidRPr="002E5315">
              <w:rPr>
                <w:rFonts w:cs="Calibri"/>
                <w:color w:val="000000"/>
                <w:sz w:val="16"/>
                <w:szCs w:val="16"/>
              </w:rPr>
              <w:t>3434</w:t>
            </w:r>
          </w:p>
        </w:tc>
        <w:tc>
          <w:tcPr>
            <w:tcW w:w="3463" w:type="dxa"/>
            <w:noWrap/>
            <w:vAlign w:val="center"/>
            <w:hideMark/>
          </w:tcPr>
          <w:p w14:paraId="46F1DB3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Ostali nespomenuti financijski rashodi</w:t>
            </w:r>
          </w:p>
        </w:tc>
        <w:tc>
          <w:tcPr>
            <w:tcW w:w="1214" w:type="dxa"/>
            <w:noWrap/>
            <w:vAlign w:val="center"/>
            <w:hideMark/>
          </w:tcPr>
          <w:p w14:paraId="47739A1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200,00</w:t>
            </w:r>
          </w:p>
        </w:tc>
        <w:tc>
          <w:tcPr>
            <w:tcW w:w="1276" w:type="dxa"/>
            <w:noWrap/>
            <w:vAlign w:val="center"/>
            <w:hideMark/>
          </w:tcPr>
          <w:p w14:paraId="38EAEDF2"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0,01</w:t>
            </w:r>
          </w:p>
        </w:tc>
        <w:tc>
          <w:tcPr>
            <w:tcW w:w="978" w:type="dxa"/>
            <w:noWrap/>
            <w:vAlign w:val="center"/>
            <w:hideMark/>
          </w:tcPr>
          <w:p w14:paraId="27B7405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0,01%</w:t>
            </w:r>
          </w:p>
        </w:tc>
        <w:tc>
          <w:tcPr>
            <w:tcW w:w="1256" w:type="dxa"/>
            <w:gridSpan w:val="2"/>
            <w:noWrap/>
            <w:vAlign w:val="center"/>
            <w:hideMark/>
          </w:tcPr>
          <w:p w14:paraId="3C2C4B3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199,99</w:t>
            </w:r>
          </w:p>
        </w:tc>
      </w:tr>
      <w:tr w:rsidR="0085052B" w:rsidRPr="002E5315" w14:paraId="2D07E5D8"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12C32F54" w14:textId="77777777" w:rsidR="0085052B" w:rsidRPr="002E5315" w:rsidRDefault="0085052B" w:rsidP="0085052B">
            <w:pPr>
              <w:jc w:val="right"/>
              <w:rPr>
                <w:rFonts w:cs="Calibri"/>
                <w:color w:val="000000"/>
                <w:sz w:val="16"/>
                <w:szCs w:val="16"/>
              </w:rPr>
            </w:pPr>
            <w:r w:rsidRPr="002E5315">
              <w:rPr>
                <w:rFonts w:cs="Calibri"/>
                <w:color w:val="000000"/>
                <w:sz w:val="16"/>
                <w:szCs w:val="16"/>
              </w:rPr>
              <w:t>Izvor 51</w:t>
            </w:r>
          </w:p>
        </w:tc>
        <w:tc>
          <w:tcPr>
            <w:tcW w:w="3463" w:type="dxa"/>
            <w:noWrap/>
            <w:vAlign w:val="center"/>
          </w:tcPr>
          <w:p w14:paraId="64FB587E"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1214" w:type="dxa"/>
            <w:noWrap/>
            <w:vAlign w:val="center"/>
          </w:tcPr>
          <w:p w14:paraId="197ED5B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2.800,00</w:t>
            </w:r>
          </w:p>
        </w:tc>
        <w:tc>
          <w:tcPr>
            <w:tcW w:w="1276" w:type="dxa"/>
            <w:noWrap/>
            <w:vAlign w:val="center"/>
          </w:tcPr>
          <w:p w14:paraId="31D944D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2.702,71</w:t>
            </w:r>
          </w:p>
        </w:tc>
        <w:tc>
          <w:tcPr>
            <w:tcW w:w="978" w:type="dxa"/>
            <w:noWrap/>
            <w:vAlign w:val="center"/>
          </w:tcPr>
          <w:p w14:paraId="7733B06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96,53%</w:t>
            </w:r>
          </w:p>
        </w:tc>
        <w:tc>
          <w:tcPr>
            <w:tcW w:w="1256" w:type="dxa"/>
            <w:gridSpan w:val="2"/>
            <w:noWrap/>
            <w:vAlign w:val="center"/>
          </w:tcPr>
          <w:p w14:paraId="1502F1E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97,29</w:t>
            </w:r>
          </w:p>
        </w:tc>
      </w:tr>
      <w:tr w:rsidR="0085052B" w:rsidRPr="002E5315" w14:paraId="74EC9452"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230953A8" w14:textId="77777777" w:rsidR="0085052B" w:rsidRPr="002E5315" w:rsidRDefault="0085052B" w:rsidP="0085052B">
            <w:pPr>
              <w:jc w:val="right"/>
              <w:rPr>
                <w:rFonts w:cs="Calibri"/>
                <w:color w:val="000000"/>
                <w:sz w:val="16"/>
                <w:szCs w:val="16"/>
              </w:rPr>
            </w:pPr>
            <w:r w:rsidRPr="002E5315">
              <w:rPr>
                <w:rFonts w:cs="Calibri"/>
                <w:color w:val="000000"/>
                <w:sz w:val="16"/>
                <w:szCs w:val="16"/>
              </w:rPr>
              <w:t>321</w:t>
            </w:r>
          </w:p>
        </w:tc>
        <w:tc>
          <w:tcPr>
            <w:tcW w:w="3463" w:type="dxa"/>
            <w:noWrap/>
            <w:vAlign w:val="center"/>
          </w:tcPr>
          <w:p w14:paraId="37DB12BF"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Naknade troškova zaposlenima</w:t>
            </w:r>
          </w:p>
        </w:tc>
        <w:tc>
          <w:tcPr>
            <w:tcW w:w="1214" w:type="dxa"/>
            <w:noWrap/>
            <w:vAlign w:val="center"/>
          </w:tcPr>
          <w:p w14:paraId="6A6B047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2.800,00</w:t>
            </w:r>
          </w:p>
        </w:tc>
        <w:tc>
          <w:tcPr>
            <w:tcW w:w="1276" w:type="dxa"/>
            <w:noWrap/>
            <w:vAlign w:val="center"/>
          </w:tcPr>
          <w:p w14:paraId="2698778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2.702,71</w:t>
            </w:r>
          </w:p>
        </w:tc>
        <w:tc>
          <w:tcPr>
            <w:tcW w:w="978" w:type="dxa"/>
            <w:noWrap/>
            <w:vAlign w:val="center"/>
          </w:tcPr>
          <w:p w14:paraId="422EEF8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96,53%</w:t>
            </w:r>
          </w:p>
        </w:tc>
        <w:tc>
          <w:tcPr>
            <w:tcW w:w="1256" w:type="dxa"/>
            <w:gridSpan w:val="2"/>
            <w:noWrap/>
            <w:vAlign w:val="center"/>
          </w:tcPr>
          <w:p w14:paraId="1DA8EF2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97,29</w:t>
            </w:r>
          </w:p>
        </w:tc>
      </w:tr>
      <w:tr w:rsidR="0085052B" w:rsidRPr="002E5315" w14:paraId="5DB34BEC"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3302FB1C" w14:textId="77777777" w:rsidR="0085052B" w:rsidRPr="002E5315" w:rsidRDefault="0085052B" w:rsidP="0085052B">
            <w:pPr>
              <w:jc w:val="right"/>
              <w:rPr>
                <w:rFonts w:cs="Calibri"/>
                <w:color w:val="000000"/>
                <w:sz w:val="16"/>
                <w:szCs w:val="16"/>
              </w:rPr>
            </w:pPr>
            <w:r w:rsidRPr="002E5315">
              <w:rPr>
                <w:rFonts w:cs="Calibri"/>
                <w:color w:val="000000"/>
                <w:sz w:val="16"/>
                <w:szCs w:val="16"/>
              </w:rPr>
              <w:t>3211</w:t>
            </w:r>
          </w:p>
        </w:tc>
        <w:tc>
          <w:tcPr>
            <w:tcW w:w="3463" w:type="dxa"/>
            <w:noWrap/>
            <w:vAlign w:val="center"/>
          </w:tcPr>
          <w:p w14:paraId="14683B9D"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Službena putovanja</w:t>
            </w:r>
          </w:p>
        </w:tc>
        <w:tc>
          <w:tcPr>
            <w:tcW w:w="1214" w:type="dxa"/>
            <w:noWrap/>
            <w:vAlign w:val="center"/>
          </w:tcPr>
          <w:p w14:paraId="7DC3B2B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2.800,00</w:t>
            </w:r>
          </w:p>
        </w:tc>
        <w:tc>
          <w:tcPr>
            <w:tcW w:w="1276" w:type="dxa"/>
            <w:noWrap/>
            <w:vAlign w:val="center"/>
          </w:tcPr>
          <w:p w14:paraId="57AC685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2.702,71</w:t>
            </w:r>
          </w:p>
        </w:tc>
        <w:tc>
          <w:tcPr>
            <w:tcW w:w="978" w:type="dxa"/>
            <w:noWrap/>
            <w:vAlign w:val="center"/>
          </w:tcPr>
          <w:p w14:paraId="0C2C3C5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96,53%</w:t>
            </w:r>
          </w:p>
        </w:tc>
        <w:tc>
          <w:tcPr>
            <w:tcW w:w="1256" w:type="dxa"/>
            <w:gridSpan w:val="2"/>
            <w:noWrap/>
            <w:vAlign w:val="center"/>
          </w:tcPr>
          <w:p w14:paraId="18144BF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97,29</w:t>
            </w:r>
          </w:p>
        </w:tc>
      </w:tr>
      <w:tr w:rsidR="0085052B" w:rsidRPr="002E5315" w14:paraId="49257AC9"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42748CFA" w14:textId="77777777" w:rsidR="0085052B" w:rsidRPr="002E5315" w:rsidRDefault="0085052B" w:rsidP="0085052B">
            <w:pPr>
              <w:jc w:val="right"/>
              <w:rPr>
                <w:rFonts w:cs="Calibri"/>
                <w:color w:val="000000"/>
                <w:sz w:val="16"/>
                <w:szCs w:val="16"/>
              </w:rPr>
            </w:pPr>
            <w:r w:rsidRPr="002E5315">
              <w:rPr>
                <w:rFonts w:cs="Calibri"/>
                <w:color w:val="000000"/>
                <w:sz w:val="16"/>
                <w:szCs w:val="16"/>
              </w:rPr>
              <w:t>Izvor 52</w:t>
            </w:r>
          </w:p>
        </w:tc>
        <w:tc>
          <w:tcPr>
            <w:tcW w:w="3463" w:type="dxa"/>
            <w:noWrap/>
            <w:vAlign w:val="center"/>
          </w:tcPr>
          <w:p w14:paraId="0C513069"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 xml:space="preserve">Ostale pomoći/donacije </w:t>
            </w:r>
          </w:p>
        </w:tc>
        <w:tc>
          <w:tcPr>
            <w:tcW w:w="1214" w:type="dxa"/>
            <w:noWrap/>
            <w:vAlign w:val="center"/>
          </w:tcPr>
          <w:p w14:paraId="21BADA9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4.697,00</w:t>
            </w:r>
          </w:p>
        </w:tc>
        <w:tc>
          <w:tcPr>
            <w:tcW w:w="1276" w:type="dxa"/>
            <w:noWrap/>
            <w:vAlign w:val="center"/>
          </w:tcPr>
          <w:p w14:paraId="1861111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color w:val="000000"/>
                <w:sz w:val="16"/>
                <w:szCs w:val="16"/>
              </w:rPr>
              <w:t>4.109,35</w:t>
            </w:r>
          </w:p>
        </w:tc>
        <w:tc>
          <w:tcPr>
            <w:tcW w:w="978" w:type="dxa"/>
            <w:noWrap/>
            <w:vAlign w:val="center"/>
          </w:tcPr>
          <w:p w14:paraId="5ED9CD0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87,49%</w:t>
            </w:r>
          </w:p>
        </w:tc>
        <w:tc>
          <w:tcPr>
            <w:tcW w:w="1256" w:type="dxa"/>
            <w:gridSpan w:val="2"/>
            <w:noWrap/>
            <w:vAlign w:val="center"/>
          </w:tcPr>
          <w:p w14:paraId="649BD41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color w:val="000000"/>
                <w:sz w:val="16"/>
                <w:szCs w:val="16"/>
              </w:rPr>
            </w:pPr>
            <w:r w:rsidRPr="002E5315">
              <w:rPr>
                <w:rFonts w:cs="Calibri"/>
                <w:b/>
                <w:color w:val="000000"/>
                <w:sz w:val="16"/>
                <w:szCs w:val="16"/>
              </w:rPr>
              <w:t>587,65</w:t>
            </w:r>
          </w:p>
        </w:tc>
      </w:tr>
      <w:tr w:rsidR="0085052B" w:rsidRPr="002E5315" w14:paraId="1BF94A5B"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3DE43C79" w14:textId="77777777" w:rsidR="0085052B" w:rsidRPr="002E5315" w:rsidRDefault="0085052B" w:rsidP="0085052B">
            <w:pPr>
              <w:jc w:val="right"/>
              <w:rPr>
                <w:rFonts w:cs="Calibri"/>
                <w:color w:val="000000"/>
                <w:sz w:val="16"/>
                <w:szCs w:val="16"/>
              </w:rPr>
            </w:pPr>
            <w:r w:rsidRPr="002E5315">
              <w:rPr>
                <w:rFonts w:cs="Calibri"/>
                <w:color w:val="000000"/>
                <w:sz w:val="16"/>
                <w:szCs w:val="16"/>
              </w:rPr>
              <w:t>321</w:t>
            </w:r>
          </w:p>
        </w:tc>
        <w:tc>
          <w:tcPr>
            <w:tcW w:w="3463" w:type="dxa"/>
            <w:noWrap/>
            <w:vAlign w:val="center"/>
          </w:tcPr>
          <w:p w14:paraId="77F0C46C"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
                <w:bCs/>
                <w:color w:val="000000"/>
                <w:sz w:val="16"/>
                <w:szCs w:val="16"/>
              </w:rPr>
              <w:t>Naknade troškova zaposlenima</w:t>
            </w:r>
          </w:p>
        </w:tc>
        <w:tc>
          <w:tcPr>
            <w:tcW w:w="1214" w:type="dxa"/>
            <w:noWrap/>
            <w:vAlign w:val="center"/>
          </w:tcPr>
          <w:p w14:paraId="6AAC549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497,00</w:t>
            </w:r>
          </w:p>
        </w:tc>
        <w:tc>
          <w:tcPr>
            <w:tcW w:w="1276" w:type="dxa"/>
            <w:noWrap/>
            <w:vAlign w:val="center"/>
          </w:tcPr>
          <w:p w14:paraId="70366B0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0,00</w:t>
            </w:r>
          </w:p>
        </w:tc>
        <w:tc>
          <w:tcPr>
            <w:tcW w:w="978" w:type="dxa"/>
            <w:noWrap/>
            <w:vAlign w:val="center"/>
          </w:tcPr>
          <w:p w14:paraId="72B5495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0,00%</w:t>
            </w:r>
          </w:p>
        </w:tc>
        <w:tc>
          <w:tcPr>
            <w:tcW w:w="1256" w:type="dxa"/>
            <w:gridSpan w:val="2"/>
            <w:noWrap/>
            <w:vAlign w:val="center"/>
          </w:tcPr>
          <w:p w14:paraId="2FCB0E8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
                <w:color w:val="000000"/>
                <w:sz w:val="16"/>
                <w:szCs w:val="16"/>
              </w:rPr>
              <w:t>497,00</w:t>
            </w:r>
          </w:p>
        </w:tc>
      </w:tr>
      <w:tr w:rsidR="0085052B" w:rsidRPr="002E5315" w14:paraId="525423A6"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45A63B75" w14:textId="77777777" w:rsidR="0085052B" w:rsidRPr="002E5315" w:rsidRDefault="0085052B" w:rsidP="0085052B">
            <w:pPr>
              <w:jc w:val="right"/>
              <w:rPr>
                <w:rFonts w:cs="Calibri"/>
                <w:color w:val="000000"/>
                <w:sz w:val="16"/>
                <w:szCs w:val="16"/>
              </w:rPr>
            </w:pPr>
            <w:r w:rsidRPr="002E5315">
              <w:rPr>
                <w:rFonts w:cs="Calibri"/>
                <w:color w:val="000000"/>
                <w:sz w:val="16"/>
                <w:szCs w:val="16"/>
              </w:rPr>
              <w:t>3211</w:t>
            </w:r>
          </w:p>
        </w:tc>
        <w:tc>
          <w:tcPr>
            <w:tcW w:w="3463" w:type="dxa"/>
            <w:noWrap/>
            <w:vAlign w:val="center"/>
          </w:tcPr>
          <w:p w14:paraId="1543CC6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Službena putovanja</w:t>
            </w:r>
          </w:p>
        </w:tc>
        <w:tc>
          <w:tcPr>
            <w:tcW w:w="1214" w:type="dxa"/>
            <w:noWrap/>
            <w:vAlign w:val="center"/>
          </w:tcPr>
          <w:p w14:paraId="6505372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497,00</w:t>
            </w:r>
          </w:p>
        </w:tc>
        <w:tc>
          <w:tcPr>
            <w:tcW w:w="1276" w:type="dxa"/>
            <w:noWrap/>
            <w:vAlign w:val="center"/>
          </w:tcPr>
          <w:p w14:paraId="1422963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978" w:type="dxa"/>
            <w:noWrap/>
            <w:vAlign w:val="center"/>
          </w:tcPr>
          <w:p w14:paraId="0DE864F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1256" w:type="dxa"/>
            <w:gridSpan w:val="2"/>
            <w:noWrap/>
            <w:vAlign w:val="center"/>
          </w:tcPr>
          <w:p w14:paraId="27751931"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497,00</w:t>
            </w:r>
          </w:p>
        </w:tc>
      </w:tr>
      <w:tr w:rsidR="0085052B" w:rsidRPr="002E5315" w14:paraId="4442B133"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00E86FA6" w14:textId="77777777" w:rsidR="0085052B" w:rsidRPr="002E5315" w:rsidRDefault="0085052B" w:rsidP="0085052B">
            <w:pPr>
              <w:jc w:val="right"/>
              <w:rPr>
                <w:rFonts w:cs="Calibri"/>
                <w:color w:val="000000"/>
                <w:sz w:val="16"/>
                <w:szCs w:val="16"/>
              </w:rPr>
            </w:pPr>
            <w:r w:rsidRPr="002E5315">
              <w:rPr>
                <w:rFonts w:cs="Calibri"/>
                <w:color w:val="000000"/>
                <w:sz w:val="16"/>
                <w:szCs w:val="16"/>
              </w:rPr>
              <w:t>324</w:t>
            </w:r>
          </w:p>
        </w:tc>
        <w:tc>
          <w:tcPr>
            <w:tcW w:w="3463" w:type="dxa"/>
            <w:noWrap/>
            <w:vAlign w:val="center"/>
          </w:tcPr>
          <w:p w14:paraId="700FECB2"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
                <w:bCs/>
                <w:color w:val="000000"/>
                <w:sz w:val="16"/>
                <w:szCs w:val="16"/>
              </w:rPr>
              <w:t>Naknade troškova osobama izvan radnog odnosa</w:t>
            </w:r>
          </w:p>
        </w:tc>
        <w:tc>
          <w:tcPr>
            <w:tcW w:w="1214" w:type="dxa"/>
            <w:noWrap/>
            <w:vAlign w:val="center"/>
          </w:tcPr>
          <w:p w14:paraId="2DF86E1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4.200,00</w:t>
            </w:r>
          </w:p>
        </w:tc>
        <w:tc>
          <w:tcPr>
            <w:tcW w:w="1276" w:type="dxa"/>
            <w:noWrap/>
            <w:vAlign w:val="center"/>
          </w:tcPr>
          <w:p w14:paraId="2EA520E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4.109,35</w:t>
            </w:r>
          </w:p>
        </w:tc>
        <w:tc>
          <w:tcPr>
            <w:tcW w:w="978" w:type="dxa"/>
            <w:noWrap/>
            <w:vAlign w:val="center"/>
          </w:tcPr>
          <w:p w14:paraId="0FEB497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2E5315">
              <w:rPr>
                <w:rFonts w:cs="Calibri"/>
                <w:b/>
                <w:color w:val="000000"/>
                <w:sz w:val="16"/>
                <w:szCs w:val="16"/>
              </w:rPr>
              <w:t>97,84%</w:t>
            </w:r>
          </w:p>
        </w:tc>
        <w:tc>
          <w:tcPr>
            <w:tcW w:w="1256" w:type="dxa"/>
            <w:gridSpan w:val="2"/>
            <w:noWrap/>
            <w:vAlign w:val="center"/>
          </w:tcPr>
          <w:p w14:paraId="506EC32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
                <w:color w:val="000000"/>
                <w:sz w:val="16"/>
                <w:szCs w:val="16"/>
              </w:rPr>
              <w:t>90,65</w:t>
            </w:r>
          </w:p>
        </w:tc>
      </w:tr>
      <w:tr w:rsidR="0085052B" w:rsidRPr="002E5315" w14:paraId="0CA5359A"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4D94C42C" w14:textId="77777777" w:rsidR="0085052B" w:rsidRPr="002E5315" w:rsidRDefault="0085052B" w:rsidP="0085052B">
            <w:pPr>
              <w:jc w:val="right"/>
              <w:rPr>
                <w:rFonts w:cs="Calibri"/>
                <w:color w:val="000000"/>
                <w:sz w:val="16"/>
                <w:szCs w:val="16"/>
              </w:rPr>
            </w:pPr>
            <w:r w:rsidRPr="002E5315">
              <w:rPr>
                <w:rFonts w:cs="Calibri"/>
                <w:color w:val="000000"/>
                <w:sz w:val="16"/>
                <w:szCs w:val="16"/>
              </w:rPr>
              <w:t>3241</w:t>
            </w:r>
          </w:p>
        </w:tc>
        <w:tc>
          <w:tcPr>
            <w:tcW w:w="3463" w:type="dxa"/>
            <w:noWrap/>
            <w:vAlign w:val="center"/>
          </w:tcPr>
          <w:p w14:paraId="5F36B33C"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Naknade troškova osobama izvan radnog odnosa</w:t>
            </w:r>
          </w:p>
        </w:tc>
        <w:tc>
          <w:tcPr>
            <w:tcW w:w="1214" w:type="dxa"/>
            <w:noWrap/>
            <w:vAlign w:val="center"/>
          </w:tcPr>
          <w:p w14:paraId="5086EA2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4.200,00</w:t>
            </w:r>
          </w:p>
        </w:tc>
        <w:tc>
          <w:tcPr>
            <w:tcW w:w="1276" w:type="dxa"/>
            <w:noWrap/>
            <w:vAlign w:val="center"/>
          </w:tcPr>
          <w:p w14:paraId="62D290F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4.109,35</w:t>
            </w:r>
          </w:p>
        </w:tc>
        <w:tc>
          <w:tcPr>
            <w:tcW w:w="978" w:type="dxa"/>
            <w:noWrap/>
            <w:vAlign w:val="center"/>
          </w:tcPr>
          <w:p w14:paraId="4310650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97,84%</w:t>
            </w:r>
          </w:p>
        </w:tc>
        <w:tc>
          <w:tcPr>
            <w:tcW w:w="1256" w:type="dxa"/>
            <w:gridSpan w:val="2"/>
            <w:noWrap/>
            <w:vAlign w:val="center"/>
          </w:tcPr>
          <w:p w14:paraId="67002C02"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90,65</w:t>
            </w:r>
          </w:p>
        </w:tc>
      </w:tr>
      <w:tr w:rsidR="00FB52CC" w:rsidRPr="002E5315" w14:paraId="1B9C9820"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9060580" w14:textId="77777777" w:rsidR="00FB52CC" w:rsidRPr="002E5315" w:rsidRDefault="00FB52CC" w:rsidP="0085052B">
            <w:pPr>
              <w:jc w:val="right"/>
              <w:rPr>
                <w:rFonts w:cs="Calibri"/>
                <w:b w:val="0"/>
                <w:bCs w:val="0"/>
                <w:color w:val="000000"/>
                <w:sz w:val="16"/>
                <w:szCs w:val="16"/>
              </w:rPr>
            </w:pPr>
          </w:p>
          <w:p w14:paraId="370DCDF3" w14:textId="728956C1" w:rsidR="00FB52CC" w:rsidRPr="002E5315" w:rsidRDefault="00FB52CC" w:rsidP="0085052B">
            <w:pPr>
              <w:jc w:val="right"/>
              <w:rPr>
                <w:rFonts w:cs="Calibri"/>
                <w:color w:val="000000"/>
                <w:sz w:val="16"/>
                <w:szCs w:val="16"/>
              </w:rPr>
            </w:pPr>
            <w:r w:rsidRPr="002E5315">
              <w:rPr>
                <w:rFonts w:cs="Calibri"/>
                <w:color w:val="000000"/>
                <w:sz w:val="16"/>
                <w:szCs w:val="16"/>
              </w:rPr>
              <w:t xml:space="preserve">A874006 </w:t>
            </w:r>
          </w:p>
        </w:tc>
        <w:tc>
          <w:tcPr>
            <w:tcW w:w="4677" w:type="dxa"/>
            <w:gridSpan w:val="2"/>
            <w:noWrap/>
            <w:vAlign w:val="center"/>
            <w:hideMark/>
          </w:tcPr>
          <w:p w14:paraId="27A2C3F0" w14:textId="77777777" w:rsidR="00FB52CC" w:rsidRPr="002E5315" w:rsidRDefault="00FB52CC"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p w14:paraId="2A438DCE" w14:textId="77777777" w:rsidR="00FB52CC" w:rsidRPr="002E5315" w:rsidRDefault="00FB52CC"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
                <w:bCs/>
                <w:color w:val="000000"/>
                <w:sz w:val="16"/>
                <w:szCs w:val="16"/>
              </w:rPr>
              <w:t>PROMICANJE PRAVA NA PRISTUP INFORMACIJAMA</w:t>
            </w:r>
          </w:p>
        </w:tc>
        <w:tc>
          <w:tcPr>
            <w:tcW w:w="1276" w:type="dxa"/>
            <w:noWrap/>
            <w:vAlign w:val="center"/>
            <w:hideMark/>
          </w:tcPr>
          <w:p w14:paraId="7CA3D37A" w14:textId="77777777" w:rsidR="00FB52CC" w:rsidRPr="002E5315" w:rsidRDefault="00FB52CC"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978" w:type="dxa"/>
            <w:noWrap/>
            <w:vAlign w:val="center"/>
            <w:hideMark/>
          </w:tcPr>
          <w:p w14:paraId="33F4DFA4" w14:textId="77777777" w:rsidR="00FB52CC" w:rsidRPr="002E5315" w:rsidRDefault="00FB52CC"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1256" w:type="dxa"/>
            <w:gridSpan w:val="2"/>
            <w:noWrap/>
            <w:vAlign w:val="center"/>
            <w:hideMark/>
          </w:tcPr>
          <w:p w14:paraId="543454D8" w14:textId="77777777" w:rsidR="00FB52CC" w:rsidRPr="002E5315" w:rsidRDefault="00FB52CC"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r>
      <w:tr w:rsidR="0085052B" w:rsidRPr="002E5315" w14:paraId="55709220"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6184BB25" w14:textId="77777777" w:rsidR="0085052B" w:rsidRPr="002E5315" w:rsidRDefault="0085052B" w:rsidP="0085052B">
            <w:pPr>
              <w:jc w:val="right"/>
              <w:rPr>
                <w:rFonts w:cs="Calibri"/>
                <w:color w:val="000000"/>
                <w:sz w:val="16"/>
                <w:szCs w:val="16"/>
              </w:rPr>
            </w:pPr>
            <w:r w:rsidRPr="002E5315">
              <w:rPr>
                <w:rFonts w:cs="Calibri"/>
                <w:color w:val="000000"/>
                <w:sz w:val="16"/>
                <w:szCs w:val="16"/>
              </w:rPr>
              <w:t>Izvor 11</w:t>
            </w:r>
          </w:p>
        </w:tc>
        <w:tc>
          <w:tcPr>
            <w:tcW w:w="3463" w:type="dxa"/>
            <w:noWrap/>
            <w:vAlign w:val="center"/>
          </w:tcPr>
          <w:p w14:paraId="3C0C6B22"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p>
        </w:tc>
        <w:tc>
          <w:tcPr>
            <w:tcW w:w="1214" w:type="dxa"/>
            <w:noWrap/>
            <w:vAlign w:val="center"/>
          </w:tcPr>
          <w:p w14:paraId="4376D862"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141.000,00</w:t>
            </w:r>
          </w:p>
        </w:tc>
        <w:tc>
          <w:tcPr>
            <w:tcW w:w="1276" w:type="dxa"/>
            <w:noWrap/>
            <w:vAlign w:val="center"/>
          </w:tcPr>
          <w:p w14:paraId="41580A0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84.258,74</w:t>
            </w:r>
          </w:p>
        </w:tc>
        <w:tc>
          <w:tcPr>
            <w:tcW w:w="978" w:type="dxa"/>
            <w:noWrap/>
            <w:vAlign w:val="center"/>
          </w:tcPr>
          <w:p w14:paraId="6986AED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59,76%</w:t>
            </w:r>
          </w:p>
        </w:tc>
        <w:tc>
          <w:tcPr>
            <w:tcW w:w="1256" w:type="dxa"/>
            <w:gridSpan w:val="2"/>
            <w:noWrap/>
            <w:vAlign w:val="center"/>
          </w:tcPr>
          <w:p w14:paraId="6EEEAD0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56.741,26</w:t>
            </w:r>
          </w:p>
        </w:tc>
      </w:tr>
      <w:tr w:rsidR="0085052B" w:rsidRPr="002E5315" w14:paraId="6C5AC0FD"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AA2B276" w14:textId="77777777" w:rsidR="0085052B" w:rsidRPr="002E5315" w:rsidRDefault="0085052B" w:rsidP="0085052B">
            <w:pPr>
              <w:jc w:val="right"/>
              <w:rPr>
                <w:rFonts w:cs="Calibri"/>
                <w:color w:val="000000"/>
                <w:sz w:val="16"/>
                <w:szCs w:val="16"/>
              </w:rPr>
            </w:pPr>
            <w:r w:rsidRPr="002E5315">
              <w:rPr>
                <w:rFonts w:cs="Calibri"/>
                <w:color w:val="000000"/>
                <w:sz w:val="16"/>
                <w:szCs w:val="16"/>
              </w:rPr>
              <w:t>321</w:t>
            </w:r>
          </w:p>
        </w:tc>
        <w:tc>
          <w:tcPr>
            <w:tcW w:w="3463" w:type="dxa"/>
            <w:noWrap/>
            <w:vAlign w:val="center"/>
            <w:hideMark/>
          </w:tcPr>
          <w:p w14:paraId="2EA534BB"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Naknade troškova zaposlenima</w:t>
            </w:r>
          </w:p>
        </w:tc>
        <w:tc>
          <w:tcPr>
            <w:tcW w:w="1214" w:type="dxa"/>
            <w:noWrap/>
            <w:vAlign w:val="center"/>
            <w:hideMark/>
          </w:tcPr>
          <w:p w14:paraId="12E4B7F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35.000,00</w:t>
            </w:r>
          </w:p>
        </w:tc>
        <w:tc>
          <w:tcPr>
            <w:tcW w:w="1276" w:type="dxa"/>
            <w:noWrap/>
            <w:vAlign w:val="center"/>
            <w:hideMark/>
          </w:tcPr>
          <w:p w14:paraId="6B71290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29.182,11</w:t>
            </w:r>
          </w:p>
        </w:tc>
        <w:tc>
          <w:tcPr>
            <w:tcW w:w="978" w:type="dxa"/>
            <w:noWrap/>
            <w:vAlign w:val="center"/>
            <w:hideMark/>
          </w:tcPr>
          <w:p w14:paraId="6F40169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83,38%</w:t>
            </w:r>
          </w:p>
        </w:tc>
        <w:tc>
          <w:tcPr>
            <w:tcW w:w="1256" w:type="dxa"/>
            <w:gridSpan w:val="2"/>
            <w:noWrap/>
            <w:vAlign w:val="center"/>
            <w:hideMark/>
          </w:tcPr>
          <w:p w14:paraId="08B03E8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5.817,89</w:t>
            </w:r>
          </w:p>
        </w:tc>
      </w:tr>
      <w:tr w:rsidR="0085052B" w:rsidRPr="002E5315" w14:paraId="169CBC3F"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0AA99DA" w14:textId="77777777" w:rsidR="0085052B" w:rsidRPr="002E5315" w:rsidRDefault="0085052B" w:rsidP="0085052B">
            <w:pPr>
              <w:jc w:val="right"/>
              <w:rPr>
                <w:rFonts w:cs="Calibri"/>
                <w:color w:val="000000"/>
                <w:sz w:val="16"/>
                <w:szCs w:val="16"/>
              </w:rPr>
            </w:pPr>
            <w:r w:rsidRPr="002E5315">
              <w:rPr>
                <w:rFonts w:cs="Calibri"/>
                <w:color w:val="000000"/>
                <w:sz w:val="16"/>
                <w:szCs w:val="16"/>
              </w:rPr>
              <w:t>3211</w:t>
            </w:r>
          </w:p>
        </w:tc>
        <w:tc>
          <w:tcPr>
            <w:tcW w:w="3463" w:type="dxa"/>
            <w:noWrap/>
            <w:vAlign w:val="center"/>
            <w:hideMark/>
          </w:tcPr>
          <w:p w14:paraId="5BDD286B"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Službena putovanja</w:t>
            </w:r>
          </w:p>
        </w:tc>
        <w:tc>
          <w:tcPr>
            <w:tcW w:w="1214" w:type="dxa"/>
            <w:noWrap/>
            <w:vAlign w:val="center"/>
            <w:hideMark/>
          </w:tcPr>
          <w:p w14:paraId="4E64842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35.000,00</w:t>
            </w:r>
          </w:p>
        </w:tc>
        <w:tc>
          <w:tcPr>
            <w:tcW w:w="1276" w:type="dxa"/>
            <w:noWrap/>
            <w:vAlign w:val="center"/>
            <w:hideMark/>
          </w:tcPr>
          <w:p w14:paraId="012FEDD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29.182,11</w:t>
            </w:r>
          </w:p>
        </w:tc>
        <w:tc>
          <w:tcPr>
            <w:tcW w:w="978" w:type="dxa"/>
            <w:noWrap/>
            <w:vAlign w:val="center"/>
            <w:hideMark/>
          </w:tcPr>
          <w:p w14:paraId="26C3569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83,38%</w:t>
            </w:r>
          </w:p>
        </w:tc>
        <w:tc>
          <w:tcPr>
            <w:tcW w:w="1256" w:type="dxa"/>
            <w:gridSpan w:val="2"/>
            <w:noWrap/>
            <w:vAlign w:val="center"/>
            <w:hideMark/>
          </w:tcPr>
          <w:p w14:paraId="2EDE061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5.817,89</w:t>
            </w:r>
          </w:p>
        </w:tc>
      </w:tr>
      <w:tr w:rsidR="0085052B" w:rsidRPr="002E5315" w14:paraId="119BB954"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5EE7FD7" w14:textId="77777777" w:rsidR="0085052B" w:rsidRPr="002E5315" w:rsidRDefault="0085052B" w:rsidP="0085052B">
            <w:pPr>
              <w:jc w:val="right"/>
              <w:rPr>
                <w:rFonts w:cs="Calibri"/>
                <w:color w:val="000000"/>
                <w:sz w:val="16"/>
                <w:szCs w:val="16"/>
              </w:rPr>
            </w:pPr>
            <w:r w:rsidRPr="002E5315">
              <w:rPr>
                <w:rFonts w:cs="Calibri"/>
                <w:color w:val="000000"/>
                <w:sz w:val="16"/>
                <w:szCs w:val="16"/>
              </w:rPr>
              <w:t>323</w:t>
            </w:r>
          </w:p>
        </w:tc>
        <w:tc>
          <w:tcPr>
            <w:tcW w:w="3463" w:type="dxa"/>
            <w:noWrap/>
            <w:vAlign w:val="center"/>
            <w:hideMark/>
          </w:tcPr>
          <w:p w14:paraId="79AB06BF"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Rashodi za usluge</w:t>
            </w:r>
          </w:p>
        </w:tc>
        <w:tc>
          <w:tcPr>
            <w:tcW w:w="1214" w:type="dxa"/>
            <w:noWrap/>
            <w:vAlign w:val="center"/>
            <w:hideMark/>
          </w:tcPr>
          <w:p w14:paraId="312ED95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50.000,00</w:t>
            </w:r>
          </w:p>
        </w:tc>
        <w:tc>
          <w:tcPr>
            <w:tcW w:w="1276" w:type="dxa"/>
            <w:noWrap/>
            <w:vAlign w:val="center"/>
            <w:hideMark/>
          </w:tcPr>
          <w:p w14:paraId="6D53C75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25.650,35</w:t>
            </w:r>
          </w:p>
        </w:tc>
        <w:tc>
          <w:tcPr>
            <w:tcW w:w="978" w:type="dxa"/>
            <w:noWrap/>
            <w:vAlign w:val="center"/>
            <w:hideMark/>
          </w:tcPr>
          <w:p w14:paraId="42129F4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51,30%</w:t>
            </w:r>
          </w:p>
        </w:tc>
        <w:tc>
          <w:tcPr>
            <w:tcW w:w="1256" w:type="dxa"/>
            <w:gridSpan w:val="2"/>
            <w:noWrap/>
            <w:vAlign w:val="center"/>
            <w:hideMark/>
          </w:tcPr>
          <w:p w14:paraId="5F74743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24.349,65</w:t>
            </w:r>
          </w:p>
        </w:tc>
      </w:tr>
      <w:tr w:rsidR="0085052B" w:rsidRPr="002E5315" w14:paraId="5DB251D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E218058" w14:textId="77777777" w:rsidR="0085052B" w:rsidRPr="002E5315" w:rsidRDefault="0085052B" w:rsidP="0085052B">
            <w:pPr>
              <w:jc w:val="right"/>
              <w:rPr>
                <w:rFonts w:cs="Calibri"/>
                <w:color w:val="000000"/>
                <w:sz w:val="16"/>
                <w:szCs w:val="16"/>
              </w:rPr>
            </w:pPr>
            <w:r w:rsidRPr="002E5315">
              <w:rPr>
                <w:rFonts w:cs="Calibri"/>
                <w:color w:val="000000"/>
                <w:sz w:val="16"/>
                <w:szCs w:val="16"/>
              </w:rPr>
              <w:t>3233</w:t>
            </w:r>
          </w:p>
        </w:tc>
        <w:tc>
          <w:tcPr>
            <w:tcW w:w="3463" w:type="dxa"/>
            <w:noWrap/>
            <w:vAlign w:val="center"/>
            <w:hideMark/>
          </w:tcPr>
          <w:p w14:paraId="0645659F"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Usluge promidžbe i informiranja</w:t>
            </w:r>
          </w:p>
        </w:tc>
        <w:tc>
          <w:tcPr>
            <w:tcW w:w="1214" w:type="dxa"/>
            <w:noWrap/>
            <w:vAlign w:val="center"/>
            <w:hideMark/>
          </w:tcPr>
          <w:p w14:paraId="2F583A5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12.000,00</w:t>
            </w:r>
          </w:p>
        </w:tc>
        <w:tc>
          <w:tcPr>
            <w:tcW w:w="1276" w:type="dxa"/>
            <w:noWrap/>
            <w:vAlign w:val="center"/>
            <w:hideMark/>
          </w:tcPr>
          <w:p w14:paraId="66C2CA3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978" w:type="dxa"/>
            <w:noWrap/>
            <w:vAlign w:val="center"/>
            <w:hideMark/>
          </w:tcPr>
          <w:p w14:paraId="59D452B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1256" w:type="dxa"/>
            <w:gridSpan w:val="2"/>
            <w:noWrap/>
            <w:vAlign w:val="center"/>
            <w:hideMark/>
          </w:tcPr>
          <w:p w14:paraId="4175C27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12.000,00</w:t>
            </w:r>
          </w:p>
        </w:tc>
      </w:tr>
      <w:tr w:rsidR="0085052B" w:rsidRPr="002E5315" w14:paraId="7089900C"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CFA22DC" w14:textId="77777777" w:rsidR="0085052B" w:rsidRPr="002E5315" w:rsidRDefault="0085052B" w:rsidP="0085052B">
            <w:pPr>
              <w:jc w:val="right"/>
              <w:rPr>
                <w:rFonts w:cs="Calibri"/>
                <w:color w:val="000000"/>
                <w:sz w:val="16"/>
                <w:szCs w:val="16"/>
              </w:rPr>
            </w:pPr>
            <w:r w:rsidRPr="002E5315">
              <w:rPr>
                <w:rFonts w:cs="Calibri"/>
                <w:color w:val="000000"/>
                <w:sz w:val="16"/>
                <w:szCs w:val="16"/>
              </w:rPr>
              <w:t>3235</w:t>
            </w:r>
          </w:p>
        </w:tc>
        <w:tc>
          <w:tcPr>
            <w:tcW w:w="3463" w:type="dxa"/>
            <w:noWrap/>
            <w:vAlign w:val="center"/>
            <w:hideMark/>
          </w:tcPr>
          <w:p w14:paraId="43181A87"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Zakupnine i najamnine</w:t>
            </w:r>
          </w:p>
        </w:tc>
        <w:tc>
          <w:tcPr>
            <w:tcW w:w="1214" w:type="dxa"/>
            <w:noWrap/>
            <w:vAlign w:val="center"/>
            <w:hideMark/>
          </w:tcPr>
          <w:p w14:paraId="0EBE874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7.000,00</w:t>
            </w:r>
          </w:p>
        </w:tc>
        <w:tc>
          <w:tcPr>
            <w:tcW w:w="1276" w:type="dxa"/>
            <w:noWrap/>
            <w:vAlign w:val="center"/>
            <w:hideMark/>
          </w:tcPr>
          <w:p w14:paraId="3E57BD2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6.100,00</w:t>
            </w:r>
          </w:p>
        </w:tc>
        <w:tc>
          <w:tcPr>
            <w:tcW w:w="978" w:type="dxa"/>
            <w:noWrap/>
            <w:vAlign w:val="center"/>
            <w:hideMark/>
          </w:tcPr>
          <w:p w14:paraId="46FF5FC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87,14%</w:t>
            </w:r>
          </w:p>
        </w:tc>
        <w:tc>
          <w:tcPr>
            <w:tcW w:w="1256" w:type="dxa"/>
            <w:gridSpan w:val="2"/>
            <w:noWrap/>
            <w:vAlign w:val="center"/>
            <w:hideMark/>
          </w:tcPr>
          <w:p w14:paraId="4E09FF0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900,00</w:t>
            </w:r>
          </w:p>
        </w:tc>
      </w:tr>
      <w:tr w:rsidR="0085052B" w:rsidRPr="002E5315" w14:paraId="3F561BF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68681AC3" w14:textId="77777777" w:rsidR="0085052B" w:rsidRPr="002E5315" w:rsidRDefault="0085052B" w:rsidP="0085052B">
            <w:pPr>
              <w:jc w:val="right"/>
              <w:rPr>
                <w:rFonts w:cs="Calibri"/>
                <w:color w:val="000000"/>
                <w:sz w:val="16"/>
                <w:szCs w:val="16"/>
              </w:rPr>
            </w:pPr>
            <w:r w:rsidRPr="002E5315">
              <w:rPr>
                <w:rFonts w:cs="Calibri"/>
                <w:color w:val="000000"/>
                <w:sz w:val="16"/>
                <w:szCs w:val="16"/>
              </w:rPr>
              <w:t>3237</w:t>
            </w:r>
          </w:p>
        </w:tc>
        <w:tc>
          <w:tcPr>
            <w:tcW w:w="3463" w:type="dxa"/>
            <w:noWrap/>
            <w:vAlign w:val="center"/>
            <w:hideMark/>
          </w:tcPr>
          <w:p w14:paraId="7CD79529"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Intelektualne i osobne usluge</w:t>
            </w:r>
          </w:p>
        </w:tc>
        <w:tc>
          <w:tcPr>
            <w:tcW w:w="1214" w:type="dxa"/>
            <w:noWrap/>
            <w:vAlign w:val="center"/>
            <w:hideMark/>
          </w:tcPr>
          <w:p w14:paraId="75823C6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16.000,00</w:t>
            </w:r>
          </w:p>
        </w:tc>
        <w:tc>
          <w:tcPr>
            <w:tcW w:w="1276" w:type="dxa"/>
            <w:noWrap/>
            <w:vAlign w:val="center"/>
            <w:hideMark/>
          </w:tcPr>
          <w:p w14:paraId="20552F9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6.731,60</w:t>
            </w:r>
          </w:p>
        </w:tc>
        <w:tc>
          <w:tcPr>
            <w:tcW w:w="978" w:type="dxa"/>
            <w:noWrap/>
            <w:vAlign w:val="center"/>
            <w:hideMark/>
          </w:tcPr>
          <w:p w14:paraId="7F0F6F6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42,07%</w:t>
            </w:r>
          </w:p>
        </w:tc>
        <w:tc>
          <w:tcPr>
            <w:tcW w:w="1256" w:type="dxa"/>
            <w:gridSpan w:val="2"/>
            <w:noWrap/>
            <w:vAlign w:val="center"/>
            <w:hideMark/>
          </w:tcPr>
          <w:p w14:paraId="0E326B9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9.268,40</w:t>
            </w:r>
          </w:p>
        </w:tc>
      </w:tr>
      <w:tr w:rsidR="0085052B" w:rsidRPr="002E5315" w14:paraId="72449E1C"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657B3DE6" w14:textId="77777777" w:rsidR="0085052B" w:rsidRPr="002E5315" w:rsidRDefault="0085052B" w:rsidP="0085052B">
            <w:pPr>
              <w:jc w:val="right"/>
              <w:rPr>
                <w:rFonts w:cs="Calibri"/>
                <w:color w:val="000000"/>
                <w:sz w:val="16"/>
                <w:szCs w:val="16"/>
              </w:rPr>
            </w:pPr>
            <w:r w:rsidRPr="002E5315">
              <w:rPr>
                <w:rFonts w:cs="Calibri"/>
                <w:color w:val="000000"/>
                <w:sz w:val="16"/>
                <w:szCs w:val="16"/>
              </w:rPr>
              <w:t>3239</w:t>
            </w:r>
          </w:p>
        </w:tc>
        <w:tc>
          <w:tcPr>
            <w:tcW w:w="3463" w:type="dxa"/>
            <w:noWrap/>
            <w:vAlign w:val="center"/>
            <w:hideMark/>
          </w:tcPr>
          <w:p w14:paraId="44028DBA"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Ostale usluge</w:t>
            </w:r>
          </w:p>
        </w:tc>
        <w:tc>
          <w:tcPr>
            <w:tcW w:w="1214" w:type="dxa"/>
            <w:noWrap/>
            <w:vAlign w:val="center"/>
            <w:hideMark/>
          </w:tcPr>
          <w:p w14:paraId="3103E50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15.000,00</w:t>
            </w:r>
          </w:p>
        </w:tc>
        <w:tc>
          <w:tcPr>
            <w:tcW w:w="1276" w:type="dxa"/>
            <w:noWrap/>
            <w:vAlign w:val="center"/>
            <w:hideMark/>
          </w:tcPr>
          <w:p w14:paraId="7D74EEF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12.818,75</w:t>
            </w:r>
          </w:p>
        </w:tc>
        <w:tc>
          <w:tcPr>
            <w:tcW w:w="978" w:type="dxa"/>
            <w:noWrap/>
            <w:vAlign w:val="center"/>
            <w:hideMark/>
          </w:tcPr>
          <w:p w14:paraId="0A005BE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85,46%</w:t>
            </w:r>
          </w:p>
        </w:tc>
        <w:tc>
          <w:tcPr>
            <w:tcW w:w="1256" w:type="dxa"/>
            <w:gridSpan w:val="2"/>
            <w:noWrap/>
            <w:vAlign w:val="center"/>
            <w:hideMark/>
          </w:tcPr>
          <w:p w14:paraId="4AD1EB8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2.181,25</w:t>
            </w:r>
          </w:p>
        </w:tc>
      </w:tr>
      <w:tr w:rsidR="0085052B" w:rsidRPr="002E5315" w14:paraId="0E198A51"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4D7287BD" w14:textId="77777777" w:rsidR="0085052B" w:rsidRPr="002E5315" w:rsidRDefault="0085052B" w:rsidP="0085052B">
            <w:pPr>
              <w:jc w:val="right"/>
              <w:rPr>
                <w:rFonts w:cs="Calibri"/>
                <w:color w:val="000000"/>
                <w:sz w:val="16"/>
                <w:szCs w:val="16"/>
              </w:rPr>
            </w:pPr>
            <w:r w:rsidRPr="002E5315">
              <w:rPr>
                <w:rFonts w:cs="Calibri"/>
                <w:color w:val="000000"/>
                <w:sz w:val="16"/>
                <w:szCs w:val="16"/>
              </w:rPr>
              <w:t>324</w:t>
            </w:r>
          </w:p>
        </w:tc>
        <w:tc>
          <w:tcPr>
            <w:tcW w:w="3463" w:type="dxa"/>
            <w:noWrap/>
            <w:vAlign w:val="center"/>
          </w:tcPr>
          <w:p w14:paraId="3DCE4955"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Naknade troškova osobama izvan radnog odnosa</w:t>
            </w:r>
          </w:p>
        </w:tc>
        <w:tc>
          <w:tcPr>
            <w:tcW w:w="1214" w:type="dxa"/>
            <w:noWrap/>
            <w:vAlign w:val="center"/>
          </w:tcPr>
          <w:p w14:paraId="2DE01C6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25.000,00</w:t>
            </w:r>
          </w:p>
        </w:tc>
        <w:tc>
          <w:tcPr>
            <w:tcW w:w="1276" w:type="dxa"/>
            <w:noWrap/>
            <w:vAlign w:val="center"/>
          </w:tcPr>
          <w:p w14:paraId="09AE125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0,00</w:t>
            </w:r>
          </w:p>
        </w:tc>
        <w:tc>
          <w:tcPr>
            <w:tcW w:w="978" w:type="dxa"/>
            <w:noWrap/>
            <w:vAlign w:val="center"/>
          </w:tcPr>
          <w:p w14:paraId="7602E15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0,00%</w:t>
            </w:r>
          </w:p>
        </w:tc>
        <w:tc>
          <w:tcPr>
            <w:tcW w:w="1256" w:type="dxa"/>
            <w:gridSpan w:val="2"/>
            <w:noWrap/>
            <w:vAlign w:val="center"/>
          </w:tcPr>
          <w:p w14:paraId="678C580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25.000,00</w:t>
            </w:r>
          </w:p>
        </w:tc>
      </w:tr>
      <w:tr w:rsidR="0085052B" w:rsidRPr="002E5315" w14:paraId="65FBC5B9"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04DBF862" w14:textId="77777777" w:rsidR="0085052B" w:rsidRPr="002E5315" w:rsidRDefault="0085052B" w:rsidP="0085052B">
            <w:pPr>
              <w:jc w:val="right"/>
              <w:rPr>
                <w:rFonts w:cs="Calibri"/>
                <w:color w:val="000000"/>
                <w:sz w:val="16"/>
                <w:szCs w:val="16"/>
              </w:rPr>
            </w:pPr>
            <w:r w:rsidRPr="002E5315">
              <w:rPr>
                <w:rFonts w:cs="Calibri"/>
                <w:color w:val="000000"/>
                <w:sz w:val="16"/>
                <w:szCs w:val="16"/>
              </w:rPr>
              <w:t>3241</w:t>
            </w:r>
          </w:p>
        </w:tc>
        <w:tc>
          <w:tcPr>
            <w:tcW w:w="3463" w:type="dxa"/>
            <w:noWrap/>
            <w:vAlign w:val="center"/>
          </w:tcPr>
          <w:p w14:paraId="05D46880"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Naknade troškova osobama izvan radnog odnosa</w:t>
            </w:r>
          </w:p>
        </w:tc>
        <w:tc>
          <w:tcPr>
            <w:tcW w:w="1214" w:type="dxa"/>
            <w:noWrap/>
            <w:vAlign w:val="center"/>
          </w:tcPr>
          <w:p w14:paraId="40B9A00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25.000,00</w:t>
            </w:r>
          </w:p>
        </w:tc>
        <w:tc>
          <w:tcPr>
            <w:tcW w:w="1276" w:type="dxa"/>
            <w:noWrap/>
            <w:vAlign w:val="center"/>
          </w:tcPr>
          <w:p w14:paraId="2C3C5EB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978" w:type="dxa"/>
            <w:noWrap/>
            <w:vAlign w:val="center"/>
          </w:tcPr>
          <w:p w14:paraId="230990B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1256" w:type="dxa"/>
            <w:gridSpan w:val="2"/>
            <w:noWrap/>
            <w:vAlign w:val="center"/>
          </w:tcPr>
          <w:p w14:paraId="4101328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25.000,00</w:t>
            </w:r>
          </w:p>
        </w:tc>
      </w:tr>
      <w:tr w:rsidR="0085052B" w:rsidRPr="002E5315" w14:paraId="059B6D41"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06DD26E6" w14:textId="77777777" w:rsidR="0085052B" w:rsidRPr="002E5315" w:rsidRDefault="0085052B" w:rsidP="0085052B">
            <w:pPr>
              <w:jc w:val="right"/>
              <w:rPr>
                <w:rFonts w:cs="Calibri"/>
                <w:color w:val="000000"/>
                <w:sz w:val="16"/>
                <w:szCs w:val="16"/>
              </w:rPr>
            </w:pPr>
            <w:r w:rsidRPr="002E5315">
              <w:rPr>
                <w:rFonts w:cs="Calibri"/>
                <w:color w:val="000000"/>
                <w:sz w:val="16"/>
                <w:szCs w:val="16"/>
              </w:rPr>
              <w:t>329</w:t>
            </w:r>
          </w:p>
        </w:tc>
        <w:tc>
          <w:tcPr>
            <w:tcW w:w="3463" w:type="dxa"/>
            <w:noWrap/>
            <w:vAlign w:val="center"/>
            <w:hideMark/>
          </w:tcPr>
          <w:p w14:paraId="6D29ED1D"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Ostali nespomenuti rashodi poslovanja</w:t>
            </w:r>
          </w:p>
        </w:tc>
        <w:tc>
          <w:tcPr>
            <w:tcW w:w="1214" w:type="dxa"/>
            <w:noWrap/>
            <w:vAlign w:val="center"/>
            <w:hideMark/>
          </w:tcPr>
          <w:p w14:paraId="7C7A6E2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31.000,00</w:t>
            </w:r>
          </w:p>
        </w:tc>
        <w:tc>
          <w:tcPr>
            <w:tcW w:w="1276" w:type="dxa"/>
            <w:noWrap/>
            <w:vAlign w:val="center"/>
            <w:hideMark/>
          </w:tcPr>
          <w:p w14:paraId="7FE0379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29.426,28</w:t>
            </w:r>
          </w:p>
        </w:tc>
        <w:tc>
          <w:tcPr>
            <w:tcW w:w="978" w:type="dxa"/>
            <w:noWrap/>
            <w:vAlign w:val="center"/>
            <w:hideMark/>
          </w:tcPr>
          <w:p w14:paraId="57C2687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94,92%</w:t>
            </w:r>
          </w:p>
        </w:tc>
        <w:tc>
          <w:tcPr>
            <w:tcW w:w="1256" w:type="dxa"/>
            <w:gridSpan w:val="2"/>
            <w:noWrap/>
            <w:vAlign w:val="center"/>
            <w:hideMark/>
          </w:tcPr>
          <w:p w14:paraId="582E5C6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1.573,72</w:t>
            </w:r>
          </w:p>
        </w:tc>
      </w:tr>
      <w:tr w:rsidR="0085052B" w:rsidRPr="002E5315" w14:paraId="49D02697"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36BB12EE" w14:textId="77777777" w:rsidR="0085052B" w:rsidRPr="002E5315" w:rsidRDefault="0085052B" w:rsidP="0085052B">
            <w:pPr>
              <w:jc w:val="right"/>
              <w:rPr>
                <w:rFonts w:cs="Calibri"/>
                <w:color w:val="000000"/>
                <w:sz w:val="16"/>
                <w:szCs w:val="16"/>
              </w:rPr>
            </w:pPr>
            <w:r w:rsidRPr="002E5315">
              <w:rPr>
                <w:rFonts w:cs="Calibri"/>
                <w:color w:val="000000"/>
                <w:sz w:val="16"/>
                <w:szCs w:val="16"/>
              </w:rPr>
              <w:t>3293</w:t>
            </w:r>
          </w:p>
        </w:tc>
        <w:tc>
          <w:tcPr>
            <w:tcW w:w="3463" w:type="dxa"/>
            <w:noWrap/>
            <w:vAlign w:val="center"/>
            <w:hideMark/>
          </w:tcPr>
          <w:p w14:paraId="41D216C4"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Reprezentacija</w:t>
            </w:r>
          </w:p>
        </w:tc>
        <w:tc>
          <w:tcPr>
            <w:tcW w:w="1214" w:type="dxa"/>
            <w:noWrap/>
            <w:vAlign w:val="center"/>
            <w:hideMark/>
          </w:tcPr>
          <w:p w14:paraId="33C0430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31.000,00</w:t>
            </w:r>
          </w:p>
        </w:tc>
        <w:tc>
          <w:tcPr>
            <w:tcW w:w="1276" w:type="dxa"/>
            <w:noWrap/>
            <w:vAlign w:val="center"/>
            <w:hideMark/>
          </w:tcPr>
          <w:p w14:paraId="71D85DF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29.426,28</w:t>
            </w:r>
          </w:p>
        </w:tc>
        <w:tc>
          <w:tcPr>
            <w:tcW w:w="978" w:type="dxa"/>
            <w:noWrap/>
            <w:vAlign w:val="center"/>
            <w:hideMark/>
          </w:tcPr>
          <w:p w14:paraId="149A120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94,92%</w:t>
            </w:r>
          </w:p>
        </w:tc>
        <w:tc>
          <w:tcPr>
            <w:tcW w:w="1256" w:type="dxa"/>
            <w:gridSpan w:val="2"/>
            <w:noWrap/>
            <w:vAlign w:val="center"/>
            <w:hideMark/>
          </w:tcPr>
          <w:p w14:paraId="75B2075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1.573,72</w:t>
            </w:r>
          </w:p>
        </w:tc>
      </w:tr>
      <w:tr w:rsidR="0085052B" w:rsidRPr="002E5315" w14:paraId="229E0160" w14:textId="77777777" w:rsidTr="00FB52CC">
        <w:trPr>
          <w:gridAfter w:val="1"/>
          <w:cnfStyle w:val="000000100000" w:firstRow="0" w:lastRow="0" w:firstColumn="0" w:lastColumn="0" w:oddVBand="0" w:evenVBand="0" w:oddHBand="1" w:evenHBand="0" w:firstRowFirstColumn="0" w:firstRowLastColumn="0" w:lastRowFirstColumn="0" w:lastRowLastColumn="0"/>
          <w:wAfter w:w="74" w:type="dxa"/>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165391C" w14:textId="77777777" w:rsidR="0085052B" w:rsidRPr="002E5315" w:rsidRDefault="0085052B" w:rsidP="0085052B">
            <w:pPr>
              <w:jc w:val="right"/>
              <w:rPr>
                <w:rFonts w:cs="Calibri"/>
                <w:color w:val="000000"/>
                <w:sz w:val="16"/>
                <w:szCs w:val="16"/>
              </w:rPr>
            </w:pPr>
            <w:r w:rsidRPr="002E5315">
              <w:rPr>
                <w:rFonts w:cs="Calibri"/>
                <w:color w:val="000000"/>
                <w:sz w:val="16"/>
                <w:szCs w:val="16"/>
              </w:rPr>
              <w:t>K874004</w:t>
            </w:r>
          </w:p>
        </w:tc>
        <w:tc>
          <w:tcPr>
            <w:tcW w:w="8113" w:type="dxa"/>
            <w:gridSpan w:val="5"/>
            <w:noWrap/>
            <w:vAlign w:val="center"/>
            <w:hideMark/>
          </w:tcPr>
          <w:p w14:paraId="334CC13D"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INFORMATIZACIJA</w:t>
            </w:r>
          </w:p>
        </w:tc>
      </w:tr>
      <w:tr w:rsidR="0085052B" w:rsidRPr="002E5315" w14:paraId="344C60B5"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22A78CE7" w14:textId="77777777" w:rsidR="0085052B" w:rsidRPr="002E5315" w:rsidRDefault="0085052B" w:rsidP="0085052B">
            <w:pPr>
              <w:jc w:val="right"/>
              <w:rPr>
                <w:rFonts w:cs="Calibri"/>
                <w:color w:val="000000"/>
                <w:sz w:val="16"/>
                <w:szCs w:val="16"/>
              </w:rPr>
            </w:pPr>
            <w:r w:rsidRPr="002E5315">
              <w:rPr>
                <w:rFonts w:cs="Calibri"/>
                <w:color w:val="000000"/>
                <w:sz w:val="16"/>
                <w:szCs w:val="16"/>
              </w:rPr>
              <w:t>Izvor 11</w:t>
            </w:r>
          </w:p>
        </w:tc>
        <w:tc>
          <w:tcPr>
            <w:tcW w:w="3463" w:type="dxa"/>
            <w:noWrap/>
            <w:vAlign w:val="center"/>
          </w:tcPr>
          <w:p w14:paraId="10D54945"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1214" w:type="dxa"/>
            <w:noWrap/>
            <w:vAlign w:val="center"/>
          </w:tcPr>
          <w:p w14:paraId="61689D4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57.000,00</w:t>
            </w:r>
          </w:p>
        </w:tc>
        <w:tc>
          <w:tcPr>
            <w:tcW w:w="1276" w:type="dxa"/>
            <w:noWrap/>
            <w:vAlign w:val="center"/>
          </w:tcPr>
          <w:p w14:paraId="0565A18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47.662,77</w:t>
            </w:r>
          </w:p>
        </w:tc>
        <w:tc>
          <w:tcPr>
            <w:tcW w:w="978" w:type="dxa"/>
            <w:noWrap/>
            <w:vAlign w:val="center"/>
          </w:tcPr>
          <w:p w14:paraId="26F1920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83,62%</w:t>
            </w:r>
          </w:p>
        </w:tc>
        <w:tc>
          <w:tcPr>
            <w:tcW w:w="1256" w:type="dxa"/>
            <w:gridSpan w:val="2"/>
            <w:noWrap/>
            <w:vAlign w:val="center"/>
          </w:tcPr>
          <w:p w14:paraId="1C7AF66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9.337,23</w:t>
            </w:r>
          </w:p>
        </w:tc>
      </w:tr>
      <w:tr w:rsidR="0085052B" w:rsidRPr="002E5315" w14:paraId="639B64B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126C090" w14:textId="77777777" w:rsidR="0085052B" w:rsidRPr="002E5315" w:rsidRDefault="0085052B" w:rsidP="0085052B">
            <w:pPr>
              <w:jc w:val="right"/>
              <w:rPr>
                <w:rFonts w:cs="Calibri"/>
                <w:color w:val="000000"/>
                <w:sz w:val="16"/>
                <w:szCs w:val="16"/>
              </w:rPr>
            </w:pPr>
            <w:r w:rsidRPr="002E5315">
              <w:rPr>
                <w:rFonts w:cs="Calibri"/>
                <w:color w:val="000000"/>
                <w:sz w:val="16"/>
                <w:szCs w:val="16"/>
              </w:rPr>
              <w:t>412</w:t>
            </w:r>
          </w:p>
        </w:tc>
        <w:tc>
          <w:tcPr>
            <w:tcW w:w="3463" w:type="dxa"/>
            <w:noWrap/>
            <w:vAlign w:val="center"/>
            <w:hideMark/>
          </w:tcPr>
          <w:p w14:paraId="76B65915"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Nematerijalna imovina</w:t>
            </w:r>
          </w:p>
        </w:tc>
        <w:tc>
          <w:tcPr>
            <w:tcW w:w="1214" w:type="dxa"/>
            <w:noWrap/>
            <w:vAlign w:val="center"/>
            <w:hideMark/>
          </w:tcPr>
          <w:p w14:paraId="4C8475B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12.000,00</w:t>
            </w:r>
          </w:p>
        </w:tc>
        <w:tc>
          <w:tcPr>
            <w:tcW w:w="1276" w:type="dxa"/>
            <w:noWrap/>
            <w:vAlign w:val="center"/>
            <w:hideMark/>
          </w:tcPr>
          <w:p w14:paraId="10A597E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3.075,25</w:t>
            </w:r>
          </w:p>
        </w:tc>
        <w:tc>
          <w:tcPr>
            <w:tcW w:w="978" w:type="dxa"/>
            <w:noWrap/>
            <w:vAlign w:val="center"/>
            <w:hideMark/>
          </w:tcPr>
          <w:p w14:paraId="3BC1FE6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25,63%</w:t>
            </w:r>
          </w:p>
        </w:tc>
        <w:tc>
          <w:tcPr>
            <w:tcW w:w="1256" w:type="dxa"/>
            <w:gridSpan w:val="2"/>
            <w:noWrap/>
            <w:vAlign w:val="center"/>
            <w:hideMark/>
          </w:tcPr>
          <w:p w14:paraId="1C4A25D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8.924,75</w:t>
            </w:r>
          </w:p>
        </w:tc>
      </w:tr>
      <w:tr w:rsidR="0085052B" w:rsidRPr="002E5315" w14:paraId="61D022C5"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B7329ED" w14:textId="77777777" w:rsidR="0085052B" w:rsidRPr="002E5315" w:rsidRDefault="0085052B" w:rsidP="0085052B">
            <w:pPr>
              <w:jc w:val="right"/>
              <w:rPr>
                <w:rFonts w:cs="Calibri"/>
                <w:color w:val="000000"/>
                <w:sz w:val="16"/>
                <w:szCs w:val="16"/>
              </w:rPr>
            </w:pPr>
            <w:r w:rsidRPr="002E5315">
              <w:rPr>
                <w:rFonts w:cs="Calibri"/>
                <w:color w:val="000000"/>
                <w:sz w:val="16"/>
                <w:szCs w:val="16"/>
              </w:rPr>
              <w:t>4123</w:t>
            </w:r>
          </w:p>
        </w:tc>
        <w:tc>
          <w:tcPr>
            <w:tcW w:w="3463" w:type="dxa"/>
            <w:noWrap/>
            <w:vAlign w:val="center"/>
            <w:hideMark/>
          </w:tcPr>
          <w:p w14:paraId="6C1C4F73"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Licence</w:t>
            </w:r>
          </w:p>
        </w:tc>
        <w:tc>
          <w:tcPr>
            <w:tcW w:w="1214" w:type="dxa"/>
            <w:noWrap/>
            <w:vAlign w:val="center"/>
            <w:hideMark/>
          </w:tcPr>
          <w:p w14:paraId="1520CD4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12.000,00</w:t>
            </w:r>
          </w:p>
        </w:tc>
        <w:tc>
          <w:tcPr>
            <w:tcW w:w="1276" w:type="dxa"/>
            <w:noWrap/>
            <w:vAlign w:val="center"/>
            <w:hideMark/>
          </w:tcPr>
          <w:p w14:paraId="266F5F2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3.075,25</w:t>
            </w:r>
          </w:p>
        </w:tc>
        <w:tc>
          <w:tcPr>
            <w:tcW w:w="978" w:type="dxa"/>
            <w:noWrap/>
            <w:vAlign w:val="center"/>
            <w:hideMark/>
          </w:tcPr>
          <w:p w14:paraId="19A13C0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25,63%</w:t>
            </w:r>
          </w:p>
        </w:tc>
        <w:tc>
          <w:tcPr>
            <w:tcW w:w="1256" w:type="dxa"/>
            <w:gridSpan w:val="2"/>
            <w:noWrap/>
            <w:vAlign w:val="center"/>
            <w:hideMark/>
          </w:tcPr>
          <w:p w14:paraId="59886D2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8.924,75</w:t>
            </w:r>
          </w:p>
        </w:tc>
      </w:tr>
      <w:tr w:rsidR="0085052B" w:rsidRPr="002E5315" w14:paraId="62D9EA8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08D2C2DA" w14:textId="77777777" w:rsidR="0085052B" w:rsidRPr="002E5315" w:rsidRDefault="0085052B" w:rsidP="0085052B">
            <w:pPr>
              <w:jc w:val="right"/>
              <w:rPr>
                <w:rFonts w:cs="Calibri"/>
                <w:color w:val="000000"/>
                <w:sz w:val="16"/>
                <w:szCs w:val="16"/>
              </w:rPr>
            </w:pPr>
            <w:r w:rsidRPr="002E5315">
              <w:rPr>
                <w:rFonts w:cs="Calibri"/>
                <w:color w:val="000000"/>
                <w:sz w:val="16"/>
                <w:szCs w:val="16"/>
              </w:rPr>
              <w:t>422</w:t>
            </w:r>
          </w:p>
        </w:tc>
        <w:tc>
          <w:tcPr>
            <w:tcW w:w="3463" w:type="dxa"/>
            <w:noWrap/>
            <w:vAlign w:val="center"/>
            <w:hideMark/>
          </w:tcPr>
          <w:p w14:paraId="1889CC29"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Postrojenja i oprema</w:t>
            </w:r>
          </w:p>
        </w:tc>
        <w:tc>
          <w:tcPr>
            <w:tcW w:w="1214" w:type="dxa"/>
            <w:noWrap/>
            <w:vAlign w:val="center"/>
            <w:hideMark/>
          </w:tcPr>
          <w:p w14:paraId="796A05C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35.000,00</w:t>
            </w:r>
          </w:p>
        </w:tc>
        <w:tc>
          <w:tcPr>
            <w:tcW w:w="1276" w:type="dxa"/>
            <w:noWrap/>
            <w:vAlign w:val="center"/>
            <w:hideMark/>
          </w:tcPr>
          <w:p w14:paraId="736B942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34.623,14</w:t>
            </w:r>
          </w:p>
        </w:tc>
        <w:tc>
          <w:tcPr>
            <w:tcW w:w="978" w:type="dxa"/>
            <w:noWrap/>
            <w:vAlign w:val="center"/>
            <w:hideMark/>
          </w:tcPr>
          <w:p w14:paraId="0120854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98,92%</w:t>
            </w:r>
          </w:p>
        </w:tc>
        <w:tc>
          <w:tcPr>
            <w:tcW w:w="1256" w:type="dxa"/>
            <w:gridSpan w:val="2"/>
            <w:noWrap/>
            <w:vAlign w:val="center"/>
            <w:hideMark/>
          </w:tcPr>
          <w:p w14:paraId="57A4A85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376,86</w:t>
            </w:r>
          </w:p>
        </w:tc>
      </w:tr>
      <w:tr w:rsidR="0085052B" w:rsidRPr="002E5315" w14:paraId="144693D5"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D06AD02" w14:textId="77777777" w:rsidR="0085052B" w:rsidRPr="002E5315" w:rsidRDefault="0085052B" w:rsidP="0085052B">
            <w:pPr>
              <w:jc w:val="right"/>
              <w:rPr>
                <w:rFonts w:cs="Calibri"/>
                <w:color w:val="000000"/>
                <w:sz w:val="16"/>
                <w:szCs w:val="16"/>
              </w:rPr>
            </w:pPr>
            <w:r w:rsidRPr="002E5315">
              <w:rPr>
                <w:rFonts w:cs="Calibri"/>
                <w:color w:val="000000"/>
                <w:sz w:val="16"/>
                <w:szCs w:val="16"/>
              </w:rPr>
              <w:t>4221</w:t>
            </w:r>
          </w:p>
        </w:tc>
        <w:tc>
          <w:tcPr>
            <w:tcW w:w="3463" w:type="dxa"/>
            <w:noWrap/>
            <w:vAlign w:val="center"/>
            <w:hideMark/>
          </w:tcPr>
          <w:p w14:paraId="64280482"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Uredska oprema i namještaj</w:t>
            </w:r>
          </w:p>
        </w:tc>
        <w:tc>
          <w:tcPr>
            <w:tcW w:w="1214" w:type="dxa"/>
            <w:noWrap/>
            <w:vAlign w:val="center"/>
            <w:hideMark/>
          </w:tcPr>
          <w:p w14:paraId="6E41E6C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30.000,00</w:t>
            </w:r>
          </w:p>
        </w:tc>
        <w:tc>
          <w:tcPr>
            <w:tcW w:w="1276" w:type="dxa"/>
            <w:noWrap/>
            <w:vAlign w:val="center"/>
            <w:hideMark/>
          </w:tcPr>
          <w:p w14:paraId="71408F8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34.623,14</w:t>
            </w:r>
          </w:p>
        </w:tc>
        <w:tc>
          <w:tcPr>
            <w:tcW w:w="978" w:type="dxa"/>
            <w:noWrap/>
            <w:vAlign w:val="center"/>
            <w:hideMark/>
          </w:tcPr>
          <w:p w14:paraId="54CE2EE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115,41%</w:t>
            </w:r>
          </w:p>
        </w:tc>
        <w:tc>
          <w:tcPr>
            <w:tcW w:w="1256" w:type="dxa"/>
            <w:gridSpan w:val="2"/>
            <w:noWrap/>
            <w:vAlign w:val="center"/>
            <w:hideMark/>
          </w:tcPr>
          <w:p w14:paraId="04E9B16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sz w:val="16"/>
                <w:szCs w:val="16"/>
              </w:rPr>
            </w:pPr>
            <w:r w:rsidRPr="002E5315">
              <w:rPr>
                <w:rFonts w:cs="Calibri"/>
                <w:sz w:val="16"/>
                <w:szCs w:val="16"/>
              </w:rPr>
              <w:t>-4.623,14</w:t>
            </w:r>
          </w:p>
        </w:tc>
      </w:tr>
      <w:tr w:rsidR="0085052B" w:rsidRPr="002E5315" w14:paraId="07FD230A"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2A211B1" w14:textId="77777777" w:rsidR="0085052B" w:rsidRPr="002E5315" w:rsidRDefault="0085052B" w:rsidP="0085052B">
            <w:pPr>
              <w:jc w:val="right"/>
              <w:rPr>
                <w:rFonts w:cs="Calibri"/>
                <w:color w:val="000000"/>
                <w:sz w:val="16"/>
                <w:szCs w:val="16"/>
              </w:rPr>
            </w:pPr>
            <w:r w:rsidRPr="002E5315">
              <w:rPr>
                <w:rFonts w:cs="Calibri"/>
                <w:color w:val="000000"/>
                <w:sz w:val="16"/>
                <w:szCs w:val="16"/>
              </w:rPr>
              <w:t>4222</w:t>
            </w:r>
          </w:p>
        </w:tc>
        <w:tc>
          <w:tcPr>
            <w:tcW w:w="3463" w:type="dxa"/>
            <w:noWrap/>
            <w:vAlign w:val="center"/>
            <w:hideMark/>
          </w:tcPr>
          <w:p w14:paraId="4E8D9FCC"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Komunikacijska oprema</w:t>
            </w:r>
          </w:p>
        </w:tc>
        <w:tc>
          <w:tcPr>
            <w:tcW w:w="1214" w:type="dxa"/>
            <w:noWrap/>
            <w:vAlign w:val="center"/>
            <w:hideMark/>
          </w:tcPr>
          <w:p w14:paraId="2A382F8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5.000,00</w:t>
            </w:r>
          </w:p>
        </w:tc>
        <w:tc>
          <w:tcPr>
            <w:tcW w:w="1276" w:type="dxa"/>
            <w:noWrap/>
            <w:vAlign w:val="center"/>
            <w:hideMark/>
          </w:tcPr>
          <w:p w14:paraId="4884F0E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978" w:type="dxa"/>
            <w:noWrap/>
            <w:vAlign w:val="center"/>
            <w:hideMark/>
          </w:tcPr>
          <w:p w14:paraId="2F1B1FC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1256" w:type="dxa"/>
            <w:gridSpan w:val="2"/>
            <w:noWrap/>
            <w:vAlign w:val="center"/>
            <w:hideMark/>
          </w:tcPr>
          <w:p w14:paraId="3E9F7FF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5.000,00</w:t>
            </w:r>
          </w:p>
        </w:tc>
      </w:tr>
      <w:tr w:rsidR="0085052B" w:rsidRPr="002E5315" w14:paraId="20090003"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535F739" w14:textId="77777777" w:rsidR="0085052B" w:rsidRPr="002E5315" w:rsidRDefault="0085052B" w:rsidP="0085052B">
            <w:pPr>
              <w:jc w:val="right"/>
              <w:rPr>
                <w:rFonts w:cs="Calibri"/>
                <w:color w:val="000000"/>
                <w:sz w:val="16"/>
                <w:szCs w:val="16"/>
              </w:rPr>
            </w:pPr>
            <w:r w:rsidRPr="002E5315">
              <w:rPr>
                <w:rFonts w:cs="Calibri"/>
                <w:color w:val="000000"/>
                <w:sz w:val="16"/>
                <w:szCs w:val="16"/>
              </w:rPr>
              <w:t>426</w:t>
            </w:r>
          </w:p>
        </w:tc>
        <w:tc>
          <w:tcPr>
            <w:tcW w:w="3463" w:type="dxa"/>
            <w:noWrap/>
            <w:vAlign w:val="center"/>
            <w:hideMark/>
          </w:tcPr>
          <w:p w14:paraId="525A0F36"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Nematerijalna proizvedena imovina</w:t>
            </w:r>
          </w:p>
        </w:tc>
        <w:tc>
          <w:tcPr>
            <w:tcW w:w="1214" w:type="dxa"/>
            <w:noWrap/>
            <w:vAlign w:val="center"/>
            <w:hideMark/>
          </w:tcPr>
          <w:p w14:paraId="64066BB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10.000,00</w:t>
            </w:r>
          </w:p>
        </w:tc>
        <w:tc>
          <w:tcPr>
            <w:tcW w:w="1276" w:type="dxa"/>
            <w:noWrap/>
            <w:vAlign w:val="center"/>
            <w:hideMark/>
          </w:tcPr>
          <w:p w14:paraId="655F81A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9.964,38</w:t>
            </w:r>
          </w:p>
        </w:tc>
        <w:tc>
          <w:tcPr>
            <w:tcW w:w="978" w:type="dxa"/>
            <w:noWrap/>
            <w:vAlign w:val="center"/>
            <w:hideMark/>
          </w:tcPr>
          <w:p w14:paraId="1BFCED2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99,64%</w:t>
            </w:r>
          </w:p>
        </w:tc>
        <w:tc>
          <w:tcPr>
            <w:tcW w:w="1256" w:type="dxa"/>
            <w:gridSpan w:val="2"/>
            <w:noWrap/>
            <w:vAlign w:val="center"/>
            <w:hideMark/>
          </w:tcPr>
          <w:p w14:paraId="5121FD8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35,62</w:t>
            </w:r>
          </w:p>
        </w:tc>
      </w:tr>
      <w:tr w:rsidR="0085052B" w:rsidRPr="002E5315" w14:paraId="2EE2C70A"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4523B40" w14:textId="77777777" w:rsidR="0085052B" w:rsidRPr="002E5315" w:rsidRDefault="0085052B" w:rsidP="0085052B">
            <w:pPr>
              <w:jc w:val="right"/>
              <w:rPr>
                <w:rFonts w:cs="Calibri"/>
                <w:color w:val="000000"/>
                <w:sz w:val="16"/>
                <w:szCs w:val="16"/>
              </w:rPr>
            </w:pPr>
            <w:r w:rsidRPr="002E5315">
              <w:rPr>
                <w:rFonts w:cs="Calibri"/>
                <w:color w:val="000000"/>
                <w:sz w:val="16"/>
                <w:szCs w:val="16"/>
              </w:rPr>
              <w:t>4262</w:t>
            </w:r>
          </w:p>
        </w:tc>
        <w:tc>
          <w:tcPr>
            <w:tcW w:w="3463" w:type="dxa"/>
            <w:noWrap/>
            <w:vAlign w:val="center"/>
            <w:hideMark/>
          </w:tcPr>
          <w:p w14:paraId="31B7B6A8"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Ulaganje u računalne programe</w:t>
            </w:r>
          </w:p>
        </w:tc>
        <w:tc>
          <w:tcPr>
            <w:tcW w:w="1214" w:type="dxa"/>
            <w:noWrap/>
            <w:vAlign w:val="center"/>
            <w:hideMark/>
          </w:tcPr>
          <w:p w14:paraId="6FE70B8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10.000,00</w:t>
            </w:r>
          </w:p>
        </w:tc>
        <w:tc>
          <w:tcPr>
            <w:tcW w:w="1276" w:type="dxa"/>
            <w:noWrap/>
            <w:vAlign w:val="center"/>
            <w:hideMark/>
          </w:tcPr>
          <w:p w14:paraId="0DB2BC66"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9.964,38</w:t>
            </w:r>
          </w:p>
        </w:tc>
        <w:tc>
          <w:tcPr>
            <w:tcW w:w="978" w:type="dxa"/>
            <w:noWrap/>
            <w:vAlign w:val="center"/>
            <w:hideMark/>
          </w:tcPr>
          <w:p w14:paraId="1CF253E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99,64%</w:t>
            </w:r>
          </w:p>
        </w:tc>
        <w:tc>
          <w:tcPr>
            <w:tcW w:w="1256" w:type="dxa"/>
            <w:gridSpan w:val="2"/>
            <w:noWrap/>
            <w:vAlign w:val="center"/>
            <w:hideMark/>
          </w:tcPr>
          <w:p w14:paraId="178A476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35,62</w:t>
            </w:r>
          </w:p>
        </w:tc>
      </w:tr>
      <w:tr w:rsidR="0085052B" w:rsidRPr="002E5315" w14:paraId="6814B4B0"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4CFA8514" w14:textId="77777777" w:rsidR="0085052B" w:rsidRPr="002E5315" w:rsidRDefault="0085052B" w:rsidP="0085052B">
            <w:pPr>
              <w:jc w:val="right"/>
              <w:rPr>
                <w:rFonts w:cs="Calibri"/>
                <w:sz w:val="16"/>
                <w:szCs w:val="16"/>
              </w:rPr>
            </w:pPr>
            <w:r w:rsidRPr="002E5315">
              <w:rPr>
                <w:rFonts w:cs="Calibri"/>
                <w:sz w:val="16"/>
                <w:szCs w:val="16"/>
              </w:rPr>
              <w:t>T874008</w:t>
            </w:r>
          </w:p>
        </w:tc>
        <w:tc>
          <w:tcPr>
            <w:tcW w:w="8187" w:type="dxa"/>
            <w:gridSpan w:val="6"/>
            <w:noWrap/>
            <w:vAlign w:val="center"/>
            <w:hideMark/>
          </w:tcPr>
          <w:p w14:paraId="41D01DD1"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sz w:val="16"/>
                <w:szCs w:val="16"/>
              </w:rPr>
            </w:pPr>
            <w:r w:rsidRPr="002E5315">
              <w:rPr>
                <w:rFonts w:cs="Calibri"/>
                <w:b/>
                <w:bCs/>
                <w:sz w:val="16"/>
                <w:szCs w:val="16"/>
              </w:rPr>
              <w:t>TWINNING LIGHT PROJEKT JAČANJE KAPACITETA AGENCIJE ZA ZAŠTITU LIČNIH PODATAKA I SLOBODAN PRISTUP INFORMACIJAMA U CRNOJ GORI</w:t>
            </w:r>
          </w:p>
        </w:tc>
      </w:tr>
      <w:tr w:rsidR="0085052B" w:rsidRPr="002E5315" w14:paraId="425BD090"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7D64B500" w14:textId="77777777" w:rsidR="0085052B" w:rsidRPr="002E5315" w:rsidRDefault="0085052B" w:rsidP="0085052B">
            <w:pPr>
              <w:jc w:val="right"/>
              <w:rPr>
                <w:rFonts w:cs="Calibri"/>
                <w:sz w:val="16"/>
                <w:szCs w:val="16"/>
              </w:rPr>
            </w:pPr>
            <w:r w:rsidRPr="002E5315">
              <w:rPr>
                <w:rFonts w:cs="Calibri"/>
                <w:sz w:val="16"/>
                <w:szCs w:val="16"/>
              </w:rPr>
              <w:t>Izvor 31</w:t>
            </w:r>
          </w:p>
        </w:tc>
        <w:tc>
          <w:tcPr>
            <w:tcW w:w="3463" w:type="dxa"/>
            <w:noWrap/>
            <w:vAlign w:val="center"/>
            <w:hideMark/>
          </w:tcPr>
          <w:p w14:paraId="1B80C4E0"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sz w:val="16"/>
                <w:szCs w:val="16"/>
              </w:rPr>
              <w:t> </w:t>
            </w:r>
          </w:p>
        </w:tc>
        <w:tc>
          <w:tcPr>
            <w:tcW w:w="1214" w:type="dxa"/>
            <w:noWrap/>
            <w:vAlign w:val="center"/>
            <w:hideMark/>
          </w:tcPr>
          <w:p w14:paraId="360D933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2E5315">
              <w:rPr>
                <w:rFonts w:cs="Calibri"/>
                <w:b/>
                <w:bCs/>
                <w:sz w:val="16"/>
                <w:szCs w:val="16"/>
              </w:rPr>
              <w:t>269.500,00</w:t>
            </w:r>
          </w:p>
        </w:tc>
        <w:tc>
          <w:tcPr>
            <w:tcW w:w="1276" w:type="dxa"/>
            <w:noWrap/>
            <w:vAlign w:val="center"/>
            <w:hideMark/>
          </w:tcPr>
          <w:p w14:paraId="41D5E75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b/>
                <w:bCs/>
                <w:sz w:val="16"/>
                <w:szCs w:val="16"/>
              </w:rPr>
              <w:t>119.600,26</w:t>
            </w:r>
          </w:p>
        </w:tc>
        <w:tc>
          <w:tcPr>
            <w:tcW w:w="978" w:type="dxa"/>
            <w:noWrap/>
            <w:vAlign w:val="center"/>
            <w:hideMark/>
          </w:tcPr>
          <w:p w14:paraId="4618FB8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sz w:val="16"/>
                <w:szCs w:val="16"/>
              </w:rPr>
            </w:pPr>
            <w:r w:rsidRPr="002E5315">
              <w:rPr>
                <w:rFonts w:cs="Calibri"/>
                <w:b/>
                <w:bCs/>
                <w:sz w:val="16"/>
                <w:szCs w:val="16"/>
              </w:rPr>
              <w:t>44,38%</w:t>
            </w:r>
          </w:p>
        </w:tc>
        <w:tc>
          <w:tcPr>
            <w:tcW w:w="1256" w:type="dxa"/>
            <w:gridSpan w:val="2"/>
            <w:noWrap/>
            <w:vAlign w:val="center"/>
            <w:hideMark/>
          </w:tcPr>
          <w:p w14:paraId="47772F3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sz w:val="16"/>
                <w:szCs w:val="16"/>
              </w:rPr>
            </w:pPr>
            <w:r w:rsidRPr="002E5315">
              <w:rPr>
                <w:rFonts w:cs="Calibri"/>
                <w:b/>
                <w:bCs/>
                <w:sz w:val="16"/>
                <w:szCs w:val="16"/>
              </w:rPr>
              <w:t>149.899,74</w:t>
            </w:r>
          </w:p>
        </w:tc>
      </w:tr>
      <w:tr w:rsidR="0085052B" w:rsidRPr="002E5315" w14:paraId="7A5A126D"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575CEDE4" w14:textId="77777777" w:rsidR="0085052B" w:rsidRPr="002E5315" w:rsidRDefault="0085052B" w:rsidP="0085052B">
            <w:pPr>
              <w:jc w:val="right"/>
              <w:rPr>
                <w:rFonts w:cs="Calibri"/>
                <w:color w:val="000000"/>
                <w:sz w:val="16"/>
                <w:szCs w:val="16"/>
              </w:rPr>
            </w:pPr>
            <w:r w:rsidRPr="002E5315">
              <w:rPr>
                <w:rFonts w:cs="Calibri"/>
                <w:color w:val="000000"/>
                <w:sz w:val="16"/>
                <w:szCs w:val="16"/>
              </w:rPr>
              <w:t>311</w:t>
            </w:r>
          </w:p>
        </w:tc>
        <w:tc>
          <w:tcPr>
            <w:tcW w:w="3463" w:type="dxa"/>
            <w:noWrap/>
            <w:vAlign w:val="center"/>
          </w:tcPr>
          <w:p w14:paraId="231F2BE8"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Plaće (bruto)</w:t>
            </w:r>
          </w:p>
        </w:tc>
        <w:tc>
          <w:tcPr>
            <w:tcW w:w="1214" w:type="dxa"/>
            <w:noWrap/>
            <w:vAlign w:val="center"/>
          </w:tcPr>
          <w:p w14:paraId="7DE4223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15.000,00</w:t>
            </w:r>
          </w:p>
        </w:tc>
        <w:tc>
          <w:tcPr>
            <w:tcW w:w="1276" w:type="dxa"/>
            <w:noWrap/>
            <w:vAlign w:val="center"/>
          </w:tcPr>
          <w:p w14:paraId="3401AE5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12.805,64</w:t>
            </w:r>
          </w:p>
        </w:tc>
        <w:tc>
          <w:tcPr>
            <w:tcW w:w="978" w:type="dxa"/>
            <w:noWrap/>
            <w:vAlign w:val="center"/>
          </w:tcPr>
          <w:p w14:paraId="3F8AEE8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85,37%</w:t>
            </w:r>
          </w:p>
        </w:tc>
        <w:tc>
          <w:tcPr>
            <w:tcW w:w="1256" w:type="dxa"/>
            <w:gridSpan w:val="2"/>
            <w:noWrap/>
            <w:vAlign w:val="center"/>
          </w:tcPr>
          <w:p w14:paraId="4FEE0C48"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2.194,36</w:t>
            </w:r>
          </w:p>
        </w:tc>
      </w:tr>
      <w:tr w:rsidR="0085052B" w:rsidRPr="002E5315" w14:paraId="2785C0B9"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6C81CB7E" w14:textId="77777777" w:rsidR="0085052B" w:rsidRPr="002E5315" w:rsidRDefault="0085052B" w:rsidP="0085052B">
            <w:pPr>
              <w:jc w:val="right"/>
              <w:rPr>
                <w:rFonts w:cs="Calibri"/>
                <w:color w:val="000000"/>
                <w:sz w:val="16"/>
                <w:szCs w:val="16"/>
              </w:rPr>
            </w:pPr>
            <w:r w:rsidRPr="002E5315">
              <w:rPr>
                <w:rFonts w:cs="Calibri"/>
                <w:color w:val="000000"/>
                <w:sz w:val="16"/>
                <w:szCs w:val="16"/>
              </w:rPr>
              <w:t>3113</w:t>
            </w:r>
          </w:p>
        </w:tc>
        <w:tc>
          <w:tcPr>
            <w:tcW w:w="3463" w:type="dxa"/>
            <w:noWrap/>
            <w:vAlign w:val="center"/>
          </w:tcPr>
          <w:p w14:paraId="4A689031"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Plaće za prekovremeni rad</w:t>
            </w:r>
          </w:p>
        </w:tc>
        <w:tc>
          <w:tcPr>
            <w:tcW w:w="1214" w:type="dxa"/>
            <w:noWrap/>
            <w:vAlign w:val="center"/>
          </w:tcPr>
          <w:p w14:paraId="2870858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15.000,00</w:t>
            </w:r>
          </w:p>
        </w:tc>
        <w:tc>
          <w:tcPr>
            <w:tcW w:w="1276" w:type="dxa"/>
            <w:noWrap/>
            <w:vAlign w:val="center"/>
          </w:tcPr>
          <w:p w14:paraId="7FBFBB8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12.805,64</w:t>
            </w:r>
          </w:p>
        </w:tc>
        <w:tc>
          <w:tcPr>
            <w:tcW w:w="978" w:type="dxa"/>
            <w:noWrap/>
            <w:vAlign w:val="center"/>
          </w:tcPr>
          <w:p w14:paraId="7989ECF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85,37%</w:t>
            </w:r>
          </w:p>
        </w:tc>
        <w:tc>
          <w:tcPr>
            <w:tcW w:w="1256" w:type="dxa"/>
            <w:gridSpan w:val="2"/>
            <w:noWrap/>
            <w:vAlign w:val="center"/>
          </w:tcPr>
          <w:p w14:paraId="3B542E6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2.194,36</w:t>
            </w:r>
          </w:p>
        </w:tc>
      </w:tr>
      <w:tr w:rsidR="0085052B" w:rsidRPr="002E5315" w14:paraId="65B89345"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513F4ABA" w14:textId="77777777" w:rsidR="0085052B" w:rsidRPr="002E5315" w:rsidRDefault="0085052B" w:rsidP="0085052B">
            <w:pPr>
              <w:jc w:val="right"/>
              <w:rPr>
                <w:rFonts w:cs="Calibri"/>
                <w:color w:val="000000"/>
                <w:sz w:val="16"/>
                <w:szCs w:val="16"/>
              </w:rPr>
            </w:pPr>
            <w:r w:rsidRPr="002E5315">
              <w:rPr>
                <w:rFonts w:cs="Calibri"/>
                <w:color w:val="000000"/>
                <w:sz w:val="16"/>
                <w:szCs w:val="16"/>
              </w:rPr>
              <w:t>313</w:t>
            </w:r>
          </w:p>
        </w:tc>
        <w:tc>
          <w:tcPr>
            <w:tcW w:w="3463" w:type="dxa"/>
            <w:noWrap/>
            <w:vAlign w:val="center"/>
          </w:tcPr>
          <w:p w14:paraId="0422B364"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Doprinosi na plaće</w:t>
            </w:r>
          </w:p>
        </w:tc>
        <w:tc>
          <w:tcPr>
            <w:tcW w:w="1214" w:type="dxa"/>
            <w:noWrap/>
            <w:vAlign w:val="center"/>
          </w:tcPr>
          <w:p w14:paraId="4248B36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0,00</w:t>
            </w:r>
          </w:p>
        </w:tc>
        <w:tc>
          <w:tcPr>
            <w:tcW w:w="1276" w:type="dxa"/>
            <w:noWrap/>
            <w:vAlign w:val="center"/>
          </w:tcPr>
          <w:p w14:paraId="7A18745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2.112,93</w:t>
            </w:r>
          </w:p>
        </w:tc>
        <w:tc>
          <w:tcPr>
            <w:tcW w:w="978" w:type="dxa"/>
            <w:noWrap/>
            <w:vAlign w:val="center"/>
          </w:tcPr>
          <w:p w14:paraId="17338D8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0,00%</w:t>
            </w:r>
          </w:p>
        </w:tc>
        <w:tc>
          <w:tcPr>
            <w:tcW w:w="1256" w:type="dxa"/>
            <w:gridSpan w:val="2"/>
            <w:noWrap/>
            <w:vAlign w:val="center"/>
          </w:tcPr>
          <w:p w14:paraId="2FC9A48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-2.112,93</w:t>
            </w:r>
          </w:p>
        </w:tc>
      </w:tr>
      <w:tr w:rsidR="0085052B" w:rsidRPr="002E5315" w14:paraId="26F7F1A1"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74F6B6EC" w14:textId="77777777" w:rsidR="0085052B" w:rsidRPr="002E5315" w:rsidRDefault="0085052B" w:rsidP="0085052B">
            <w:pPr>
              <w:jc w:val="right"/>
              <w:rPr>
                <w:rFonts w:cs="Calibri"/>
                <w:color w:val="000000"/>
                <w:sz w:val="16"/>
                <w:szCs w:val="16"/>
              </w:rPr>
            </w:pPr>
            <w:r w:rsidRPr="002E5315">
              <w:rPr>
                <w:rFonts w:cs="Calibri"/>
                <w:color w:val="000000"/>
                <w:sz w:val="16"/>
                <w:szCs w:val="16"/>
              </w:rPr>
              <w:t>3132</w:t>
            </w:r>
          </w:p>
        </w:tc>
        <w:tc>
          <w:tcPr>
            <w:tcW w:w="3463" w:type="dxa"/>
            <w:noWrap/>
            <w:vAlign w:val="center"/>
          </w:tcPr>
          <w:p w14:paraId="37D47B6A"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Doprinosi za obvezno zdravstveno osiguranje</w:t>
            </w:r>
          </w:p>
        </w:tc>
        <w:tc>
          <w:tcPr>
            <w:tcW w:w="1214" w:type="dxa"/>
            <w:noWrap/>
            <w:vAlign w:val="center"/>
          </w:tcPr>
          <w:p w14:paraId="6D8F58C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0,00</w:t>
            </w:r>
          </w:p>
        </w:tc>
        <w:tc>
          <w:tcPr>
            <w:tcW w:w="1276" w:type="dxa"/>
            <w:noWrap/>
            <w:vAlign w:val="center"/>
          </w:tcPr>
          <w:p w14:paraId="2F4D271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2.112,93</w:t>
            </w:r>
          </w:p>
        </w:tc>
        <w:tc>
          <w:tcPr>
            <w:tcW w:w="978" w:type="dxa"/>
            <w:noWrap/>
            <w:vAlign w:val="center"/>
          </w:tcPr>
          <w:p w14:paraId="3DE0F60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0,00%</w:t>
            </w:r>
          </w:p>
        </w:tc>
        <w:tc>
          <w:tcPr>
            <w:tcW w:w="1256" w:type="dxa"/>
            <w:gridSpan w:val="2"/>
            <w:noWrap/>
            <w:vAlign w:val="center"/>
          </w:tcPr>
          <w:p w14:paraId="7A4AE9C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-2.112,93</w:t>
            </w:r>
          </w:p>
        </w:tc>
      </w:tr>
      <w:tr w:rsidR="0085052B" w:rsidRPr="002E5315" w14:paraId="6980F4A2"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10FD8216" w14:textId="77777777" w:rsidR="0085052B" w:rsidRPr="002E5315" w:rsidRDefault="0085052B" w:rsidP="0085052B">
            <w:pPr>
              <w:jc w:val="right"/>
              <w:rPr>
                <w:rFonts w:cs="Calibri"/>
                <w:color w:val="000000"/>
                <w:sz w:val="16"/>
                <w:szCs w:val="16"/>
              </w:rPr>
            </w:pPr>
            <w:r w:rsidRPr="002E5315">
              <w:rPr>
                <w:rFonts w:cs="Calibri"/>
                <w:color w:val="000000"/>
                <w:sz w:val="16"/>
                <w:szCs w:val="16"/>
              </w:rPr>
              <w:t>3133</w:t>
            </w:r>
          </w:p>
        </w:tc>
        <w:tc>
          <w:tcPr>
            <w:tcW w:w="3463" w:type="dxa"/>
            <w:noWrap/>
            <w:vAlign w:val="center"/>
          </w:tcPr>
          <w:p w14:paraId="68743C3D"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color w:val="000000"/>
                <w:sz w:val="16"/>
                <w:szCs w:val="16"/>
              </w:rPr>
              <w:t>Doprinosi za obvezno osiguranje u slučaju nezaposlenosti</w:t>
            </w:r>
          </w:p>
        </w:tc>
        <w:tc>
          <w:tcPr>
            <w:tcW w:w="1214" w:type="dxa"/>
            <w:noWrap/>
            <w:vAlign w:val="center"/>
          </w:tcPr>
          <w:p w14:paraId="4E37DD7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1276" w:type="dxa"/>
            <w:noWrap/>
            <w:vAlign w:val="center"/>
          </w:tcPr>
          <w:p w14:paraId="5038920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978" w:type="dxa"/>
            <w:noWrap/>
            <w:vAlign w:val="center"/>
          </w:tcPr>
          <w:p w14:paraId="2547B273"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1256" w:type="dxa"/>
            <w:gridSpan w:val="2"/>
            <w:noWrap/>
            <w:vAlign w:val="center"/>
          </w:tcPr>
          <w:p w14:paraId="4A95A25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r>
      <w:tr w:rsidR="0085052B" w:rsidRPr="002E5315" w14:paraId="39F09BD7"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1335EAAF" w14:textId="77777777" w:rsidR="0085052B" w:rsidRPr="002E5315" w:rsidRDefault="0085052B" w:rsidP="0085052B">
            <w:pPr>
              <w:jc w:val="right"/>
              <w:rPr>
                <w:rFonts w:cs="Calibri"/>
                <w:color w:val="000000"/>
                <w:sz w:val="16"/>
                <w:szCs w:val="16"/>
              </w:rPr>
            </w:pPr>
            <w:r w:rsidRPr="002E5315">
              <w:rPr>
                <w:rFonts w:cs="Calibri"/>
                <w:color w:val="000000"/>
                <w:sz w:val="16"/>
                <w:szCs w:val="16"/>
              </w:rPr>
              <w:t>321</w:t>
            </w:r>
          </w:p>
        </w:tc>
        <w:tc>
          <w:tcPr>
            <w:tcW w:w="3463" w:type="dxa"/>
            <w:noWrap/>
            <w:vAlign w:val="center"/>
            <w:hideMark/>
          </w:tcPr>
          <w:p w14:paraId="1678EA68"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Naknade troškova zaposlenima</w:t>
            </w:r>
          </w:p>
        </w:tc>
        <w:tc>
          <w:tcPr>
            <w:tcW w:w="1214" w:type="dxa"/>
            <w:noWrap/>
            <w:vAlign w:val="center"/>
            <w:hideMark/>
          </w:tcPr>
          <w:p w14:paraId="37C55F6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57.000,00</w:t>
            </w:r>
          </w:p>
        </w:tc>
        <w:tc>
          <w:tcPr>
            <w:tcW w:w="1276" w:type="dxa"/>
            <w:noWrap/>
            <w:vAlign w:val="center"/>
            <w:hideMark/>
          </w:tcPr>
          <w:p w14:paraId="29EA31D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48.618,37</w:t>
            </w:r>
          </w:p>
        </w:tc>
        <w:tc>
          <w:tcPr>
            <w:tcW w:w="978" w:type="dxa"/>
            <w:noWrap/>
            <w:vAlign w:val="center"/>
            <w:hideMark/>
          </w:tcPr>
          <w:p w14:paraId="1887A24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85,30%</w:t>
            </w:r>
          </w:p>
        </w:tc>
        <w:tc>
          <w:tcPr>
            <w:tcW w:w="1256" w:type="dxa"/>
            <w:gridSpan w:val="2"/>
            <w:noWrap/>
            <w:vAlign w:val="center"/>
            <w:hideMark/>
          </w:tcPr>
          <w:p w14:paraId="26698A6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8.381,63</w:t>
            </w:r>
          </w:p>
        </w:tc>
      </w:tr>
      <w:tr w:rsidR="0085052B" w:rsidRPr="002E5315" w14:paraId="16E27C71"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hideMark/>
          </w:tcPr>
          <w:p w14:paraId="5E9766F0" w14:textId="77777777" w:rsidR="0085052B" w:rsidRPr="002E5315" w:rsidRDefault="0085052B" w:rsidP="0085052B">
            <w:pPr>
              <w:jc w:val="right"/>
              <w:rPr>
                <w:rFonts w:cs="Calibri"/>
                <w:color w:val="000000"/>
                <w:sz w:val="16"/>
                <w:szCs w:val="16"/>
              </w:rPr>
            </w:pPr>
            <w:r w:rsidRPr="002E5315">
              <w:rPr>
                <w:rFonts w:cs="Calibri"/>
                <w:color w:val="000000"/>
                <w:sz w:val="16"/>
                <w:szCs w:val="16"/>
              </w:rPr>
              <w:t>3211</w:t>
            </w:r>
          </w:p>
        </w:tc>
        <w:tc>
          <w:tcPr>
            <w:tcW w:w="3463" w:type="dxa"/>
            <w:noWrap/>
            <w:vAlign w:val="center"/>
            <w:hideMark/>
          </w:tcPr>
          <w:p w14:paraId="7154EB3D"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Službena putovanja</w:t>
            </w:r>
          </w:p>
        </w:tc>
        <w:tc>
          <w:tcPr>
            <w:tcW w:w="1214" w:type="dxa"/>
            <w:noWrap/>
            <w:vAlign w:val="center"/>
            <w:hideMark/>
          </w:tcPr>
          <w:p w14:paraId="61D16C2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54.000,00</w:t>
            </w:r>
          </w:p>
        </w:tc>
        <w:tc>
          <w:tcPr>
            <w:tcW w:w="1276" w:type="dxa"/>
            <w:noWrap/>
            <w:vAlign w:val="center"/>
            <w:hideMark/>
          </w:tcPr>
          <w:p w14:paraId="3A2E40A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48.618,37</w:t>
            </w:r>
          </w:p>
        </w:tc>
        <w:tc>
          <w:tcPr>
            <w:tcW w:w="978" w:type="dxa"/>
            <w:noWrap/>
            <w:vAlign w:val="center"/>
            <w:hideMark/>
          </w:tcPr>
          <w:p w14:paraId="1B71FFA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90,03%</w:t>
            </w:r>
          </w:p>
        </w:tc>
        <w:tc>
          <w:tcPr>
            <w:tcW w:w="1256" w:type="dxa"/>
            <w:gridSpan w:val="2"/>
            <w:noWrap/>
            <w:vAlign w:val="center"/>
            <w:hideMark/>
          </w:tcPr>
          <w:p w14:paraId="7F69BF7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5.381,63</w:t>
            </w:r>
          </w:p>
        </w:tc>
      </w:tr>
      <w:tr w:rsidR="0085052B" w:rsidRPr="002E5315" w14:paraId="2508A7B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09CCB0A1" w14:textId="77777777" w:rsidR="0085052B" w:rsidRPr="002E5315" w:rsidRDefault="0085052B" w:rsidP="0085052B">
            <w:pPr>
              <w:jc w:val="right"/>
              <w:rPr>
                <w:rFonts w:cs="Calibri"/>
                <w:color w:val="000000"/>
                <w:sz w:val="16"/>
                <w:szCs w:val="16"/>
              </w:rPr>
            </w:pPr>
            <w:r w:rsidRPr="002E5315">
              <w:rPr>
                <w:rFonts w:cs="Calibri"/>
                <w:color w:val="000000"/>
                <w:sz w:val="16"/>
                <w:szCs w:val="16"/>
              </w:rPr>
              <w:t>3214</w:t>
            </w:r>
          </w:p>
        </w:tc>
        <w:tc>
          <w:tcPr>
            <w:tcW w:w="3463" w:type="dxa"/>
            <w:noWrap/>
            <w:vAlign w:val="center"/>
          </w:tcPr>
          <w:p w14:paraId="0CA0BF19"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Ostale naknade troškova zaposlenima</w:t>
            </w:r>
          </w:p>
        </w:tc>
        <w:tc>
          <w:tcPr>
            <w:tcW w:w="1214" w:type="dxa"/>
            <w:noWrap/>
            <w:vAlign w:val="center"/>
          </w:tcPr>
          <w:p w14:paraId="0DCFD4D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3.000,00</w:t>
            </w:r>
          </w:p>
        </w:tc>
        <w:tc>
          <w:tcPr>
            <w:tcW w:w="1276" w:type="dxa"/>
            <w:noWrap/>
            <w:vAlign w:val="center"/>
          </w:tcPr>
          <w:p w14:paraId="7923E1E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978" w:type="dxa"/>
            <w:noWrap/>
            <w:vAlign w:val="center"/>
          </w:tcPr>
          <w:p w14:paraId="709EAA3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1256" w:type="dxa"/>
            <w:gridSpan w:val="2"/>
            <w:noWrap/>
            <w:vAlign w:val="center"/>
          </w:tcPr>
          <w:p w14:paraId="11F5FD72"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3.000,00</w:t>
            </w:r>
          </w:p>
        </w:tc>
      </w:tr>
      <w:tr w:rsidR="0085052B" w:rsidRPr="002E5315" w14:paraId="28384392"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58165B16" w14:textId="77777777" w:rsidR="0085052B" w:rsidRPr="002E5315" w:rsidRDefault="0085052B" w:rsidP="0085052B">
            <w:pPr>
              <w:jc w:val="right"/>
              <w:rPr>
                <w:rFonts w:cs="Calibri"/>
                <w:color w:val="000000"/>
                <w:sz w:val="16"/>
                <w:szCs w:val="16"/>
              </w:rPr>
            </w:pPr>
            <w:r w:rsidRPr="002E5315">
              <w:rPr>
                <w:rFonts w:cs="Calibri"/>
                <w:color w:val="000000"/>
                <w:sz w:val="16"/>
                <w:szCs w:val="16"/>
              </w:rPr>
              <w:t>322</w:t>
            </w:r>
          </w:p>
        </w:tc>
        <w:tc>
          <w:tcPr>
            <w:tcW w:w="3463" w:type="dxa"/>
            <w:noWrap/>
            <w:vAlign w:val="center"/>
          </w:tcPr>
          <w:p w14:paraId="6CB14BC2"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Rashodi za materijal i energiju</w:t>
            </w:r>
          </w:p>
        </w:tc>
        <w:tc>
          <w:tcPr>
            <w:tcW w:w="1214" w:type="dxa"/>
            <w:noWrap/>
            <w:vAlign w:val="center"/>
          </w:tcPr>
          <w:p w14:paraId="68B4397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7.000,00</w:t>
            </w:r>
          </w:p>
        </w:tc>
        <w:tc>
          <w:tcPr>
            <w:tcW w:w="1276" w:type="dxa"/>
            <w:noWrap/>
            <w:vAlign w:val="center"/>
          </w:tcPr>
          <w:p w14:paraId="650DDBA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447,00</w:t>
            </w:r>
          </w:p>
        </w:tc>
        <w:tc>
          <w:tcPr>
            <w:tcW w:w="978" w:type="dxa"/>
            <w:noWrap/>
            <w:vAlign w:val="center"/>
          </w:tcPr>
          <w:p w14:paraId="5FB089C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6,39%</w:t>
            </w:r>
          </w:p>
        </w:tc>
        <w:tc>
          <w:tcPr>
            <w:tcW w:w="1256" w:type="dxa"/>
            <w:gridSpan w:val="2"/>
            <w:noWrap/>
            <w:vAlign w:val="center"/>
          </w:tcPr>
          <w:p w14:paraId="12A3928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
                <w:bCs/>
                <w:color w:val="000000"/>
                <w:sz w:val="16"/>
                <w:szCs w:val="16"/>
              </w:rPr>
              <w:t>6.553,00</w:t>
            </w:r>
          </w:p>
        </w:tc>
      </w:tr>
      <w:tr w:rsidR="0085052B" w:rsidRPr="002E5315" w14:paraId="31ED5206"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1184F050" w14:textId="77777777" w:rsidR="0085052B" w:rsidRPr="002E5315" w:rsidRDefault="0085052B" w:rsidP="0085052B">
            <w:pPr>
              <w:jc w:val="right"/>
              <w:rPr>
                <w:rFonts w:cs="Calibri"/>
                <w:color w:val="000000"/>
                <w:sz w:val="16"/>
                <w:szCs w:val="16"/>
              </w:rPr>
            </w:pPr>
            <w:r w:rsidRPr="002E5315">
              <w:rPr>
                <w:rFonts w:cs="Calibri"/>
                <w:color w:val="000000"/>
                <w:sz w:val="16"/>
                <w:szCs w:val="16"/>
              </w:rPr>
              <w:t>3221</w:t>
            </w:r>
          </w:p>
        </w:tc>
        <w:tc>
          <w:tcPr>
            <w:tcW w:w="3463" w:type="dxa"/>
            <w:noWrap/>
            <w:vAlign w:val="center"/>
          </w:tcPr>
          <w:p w14:paraId="3403F059"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Uredski materijal i ostali materijalni rashodi</w:t>
            </w:r>
          </w:p>
        </w:tc>
        <w:tc>
          <w:tcPr>
            <w:tcW w:w="1214" w:type="dxa"/>
            <w:noWrap/>
            <w:vAlign w:val="center"/>
          </w:tcPr>
          <w:p w14:paraId="1628648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4.000,00</w:t>
            </w:r>
          </w:p>
        </w:tc>
        <w:tc>
          <w:tcPr>
            <w:tcW w:w="1276" w:type="dxa"/>
            <w:noWrap/>
            <w:vAlign w:val="center"/>
          </w:tcPr>
          <w:p w14:paraId="26A5022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447,00</w:t>
            </w:r>
          </w:p>
        </w:tc>
        <w:tc>
          <w:tcPr>
            <w:tcW w:w="978" w:type="dxa"/>
            <w:noWrap/>
            <w:vAlign w:val="center"/>
          </w:tcPr>
          <w:p w14:paraId="2350891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11,18%</w:t>
            </w:r>
          </w:p>
        </w:tc>
        <w:tc>
          <w:tcPr>
            <w:tcW w:w="1256" w:type="dxa"/>
            <w:gridSpan w:val="2"/>
            <w:noWrap/>
            <w:vAlign w:val="center"/>
          </w:tcPr>
          <w:p w14:paraId="63A7A83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Cs/>
                <w:color w:val="000000"/>
                <w:sz w:val="16"/>
                <w:szCs w:val="16"/>
              </w:rPr>
              <w:t>3.553,00</w:t>
            </w:r>
          </w:p>
        </w:tc>
      </w:tr>
      <w:tr w:rsidR="0085052B" w:rsidRPr="002E5315" w14:paraId="23DD017C"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7870764F" w14:textId="77777777" w:rsidR="0085052B" w:rsidRPr="002E5315" w:rsidRDefault="0085052B" w:rsidP="0085052B">
            <w:pPr>
              <w:jc w:val="right"/>
              <w:rPr>
                <w:rFonts w:cs="Calibri"/>
                <w:color w:val="000000"/>
                <w:sz w:val="16"/>
                <w:szCs w:val="16"/>
              </w:rPr>
            </w:pPr>
            <w:r w:rsidRPr="002E5315">
              <w:rPr>
                <w:rFonts w:cs="Calibri"/>
                <w:color w:val="000000"/>
                <w:sz w:val="16"/>
                <w:szCs w:val="16"/>
              </w:rPr>
              <w:t>3225</w:t>
            </w:r>
          </w:p>
        </w:tc>
        <w:tc>
          <w:tcPr>
            <w:tcW w:w="3463" w:type="dxa"/>
            <w:noWrap/>
            <w:vAlign w:val="center"/>
          </w:tcPr>
          <w:p w14:paraId="0D77B581"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color w:val="000000"/>
                <w:sz w:val="16"/>
                <w:szCs w:val="16"/>
              </w:rPr>
              <w:t>Sitni inventar i auto gume</w:t>
            </w:r>
          </w:p>
        </w:tc>
        <w:tc>
          <w:tcPr>
            <w:tcW w:w="1214" w:type="dxa"/>
            <w:noWrap/>
            <w:vAlign w:val="center"/>
          </w:tcPr>
          <w:p w14:paraId="447AD2A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3.000,00</w:t>
            </w:r>
          </w:p>
        </w:tc>
        <w:tc>
          <w:tcPr>
            <w:tcW w:w="1276" w:type="dxa"/>
            <w:noWrap/>
            <w:vAlign w:val="center"/>
          </w:tcPr>
          <w:p w14:paraId="36EF503E"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978" w:type="dxa"/>
            <w:noWrap/>
            <w:vAlign w:val="center"/>
          </w:tcPr>
          <w:p w14:paraId="15E627A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0,00%</w:t>
            </w:r>
          </w:p>
        </w:tc>
        <w:tc>
          <w:tcPr>
            <w:tcW w:w="1256" w:type="dxa"/>
            <w:gridSpan w:val="2"/>
            <w:noWrap/>
            <w:vAlign w:val="center"/>
          </w:tcPr>
          <w:p w14:paraId="398AFB7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3.000,00</w:t>
            </w:r>
          </w:p>
        </w:tc>
      </w:tr>
      <w:tr w:rsidR="0085052B" w:rsidRPr="002E5315" w14:paraId="000A0C83"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708EA6F2" w14:textId="77777777" w:rsidR="0085052B" w:rsidRPr="002E5315" w:rsidRDefault="0085052B" w:rsidP="0085052B">
            <w:pPr>
              <w:jc w:val="right"/>
              <w:rPr>
                <w:rFonts w:cs="Calibri"/>
                <w:color w:val="000000"/>
                <w:sz w:val="16"/>
                <w:szCs w:val="16"/>
              </w:rPr>
            </w:pPr>
            <w:r w:rsidRPr="002E5315">
              <w:rPr>
                <w:rFonts w:cs="Calibri"/>
                <w:color w:val="000000"/>
                <w:sz w:val="16"/>
                <w:szCs w:val="16"/>
              </w:rPr>
              <w:t>323</w:t>
            </w:r>
          </w:p>
        </w:tc>
        <w:tc>
          <w:tcPr>
            <w:tcW w:w="3463" w:type="dxa"/>
            <w:noWrap/>
            <w:vAlign w:val="center"/>
          </w:tcPr>
          <w:p w14:paraId="2BA774E5"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Rashodi za usluge</w:t>
            </w:r>
          </w:p>
        </w:tc>
        <w:tc>
          <w:tcPr>
            <w:tcW w:w="1214" w:type="dxa"/>
            <w:noWrap/>
            <w:vAlign w:val="center"/>
          </w:tcPr>
          <w:p w14:paraId="523C4D1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77.000,00</w:t>
            </w:r>
          </w:p>
        </w:tc>
        <w:tc>
          <w:tcPr>
            <w:tcW w:w="1276" w:type="dxa"/>
            <w:noWrap/>
            <w:vAlign w:val="center"/>
          </w:tcPr>
          <w:p w14:paraId="6E65FAF0"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35.649,56</w:t>
            </w:r>
          </w:p>
        </w:tc>
        <w:tc>
          <w:tcPr>
            <w:tcW w:w="978" w:type="dxa"/>
            <w:noWrap/>
            <w:vAlign w:val="center"/>
          </w:tcPr>
          <w:p w14:paraId="5958C0F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46,30%</w:t>
            </w:r>
          </w:p>
        </w:tc>
        <w:tc>
          <w:tcPr>
            <w:tcW w:w="1256" w:type="dxa"/>
            <w:gridSpan w:val="2"/>
            <w:noWrap/>
            <w:vAlign w:val="center"/>
          </w:tcPr>
          <w:p w14:paraId="3CF0E18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41.350,44</w:t>
            </w:r>
          </w:p>
        </w:tc>
      </w:tr>
      <w:tr w:rsidR="0085052B" w:rsidRPr="002E5315" w14:paraId="1AE49837"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1C8E9DBD" w14:textId="77777777" w:rsidR="0085052B" w:rsidRPr="002E5315" w:rsidRDefault="0085052B" w:rsidP="0085052B">
            <w:pPr>
              <w:jc w:val="right"/>
              <w:rPr>
                <w:rFonts w:cs="Calibri"/>
                <w:color w:val="000000"/>
                <w:sz w:val="16"/>
                <w:szCs w:val="16"/>
              </w:rPr>
            </w:pPr>
            <w:r w:rsidRPr="002E5315">
              <w:rPr>
                <w:rFonts w:cs="Calibri"/>
                <w:color w:val="000000"/>
                <w:sz w:val="16"/>
                <w:szCs w:val="16"/>
              </w:rPr>
              <w:t>3231</w:t>
            </w:r>
          </w:p>
        </w:tc>
        <w:tc>
          <w:tcPr>
            <w:tcW w:w="3463" w:type="dxa"/>
            <w:noWrap/>
            <w:vAlign w:val="center"/>
          </w:tcPr>
          <w:p w14:paraId="26460C38"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Usluge telefona, pošte i prijevoza</w:t>
            </w:r>
          </w:p>
        </w:tc>
        <w:tc>
          <w:tcPr>
            <w:tcW w:w="1214" w:type="dxa"/>
            <w:noWrap/>
            <w:vAlign w:val="center"/>
          </w:tcPr>
          <w:p w14:paraId="684F761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3.000,00</w:t>
            </w:r>
          </w:p>
        </w:tc>
        <w:tc>
          <w:tcPr>
            <w:tcW w:w="1276" w:type="dxa"/>
            <w:noWrap/>
            <w:vAlign w:val="center"/>
          </w:tcPr>
          <w:p w14:paraId="4B714D1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978" w:type="dxa"/>
            <w:noWrap/>
            <w:vAlign w:val="center"/>
          </w:tcPr>
          <w:p w14:paraId="54A6EF7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1256" w:type="dxa"/>
            <w:gridSpan w:val="2"/>
            <w:noWrap/>
            <w:vAlign w:val="center"/>
          </w:tcPr>
          <w:p w14:paraId="233DF4C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3.000,00</w:t>
            </w:r>
          </w:p>
        </w:tc>
      </w:tr>
      <w:tr w:rsidR="0085052B" w:rsidRPr="002E5315" w14:paraId="174D0E39"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4EB03D9D" w14:textId="77777777" w:rsidR="0085052B" w:rsidRPr="002E5315" w:rsidRDefault="0085052B" w:rsidP="0085052B">
            <w:pPr>
              <w:jc w:val="right"/>
              <w:rPr>
                <w:rFonts w:cs="Calibri"/>
                <w:color w:val="000000"/>
                <w:sz w:val="16"/>
                <w:szCs w:val="16"/>
              </w:rPr>
            </w:pPr>
            <w:r w:rsidRPr="002E5315">
              <w:rPr>
                <w:rFonts w:cs="Calibri"/>
                <w:color w:val="000000"/>
                <w:sz w:val="16"/>
                <w:szCs w:val="16"/>
              </w:rPr>
              <w:t>3233</w:t>
            </w:r>
          </w:p>
        </w:tc>
        <w:tc>
          <w:tcPr>
            <w:tcW w:w="3463" w:type="dxa"/>
            <w:noWrap/>
            <w:vAlign w:val="center"/>
          </w:tcPr>
          <w:p w14:paraId="5A387C63"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Usluge promidžbe i informiranja</w:t>
            </w:r>
          </w:p>
        </w:tc>
        <w:tc>
          <w:tcPr>
            <w:tcW w:w="1214" w:type="dxa"/>
            <w:noWrap/>
            <w:vAlign w:val="center"/>
          </w:tcPr>
          <w:p w14:paraId="4408BF5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16.000,00</w:t>
            </w:r>
          </w:p>
        </w:tc>
        <w:tc>
          <w:tcPr>
            <w:tcW w:w="1276" w:type="dxa"/>
            <w:noWrap/>
            <w:vAlign w:val="center"/>
          </w:tcPr>
          <w:p w14:paraId="1EA0B96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1.735,00</w:t>
            </w:r>
          </w:p>
        </w:tc>
        <w:tc>
          <w:tcPr>
            <w:tcW w:w="978" w:type="dxa"/>
            <w:noWrap/>
            <w:vAlign w:val="center"/>
          </w:tcPr>
          <w:p w14:paraId="16F6887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10,84%</w:t>
            </w:r>
          </w:p>
        </w:tc>
        <w:tc>
          <w:tcPr>
            <w:tcW w:w="1256" w:type="dxa"/>
            <w:gridSpan w:val="2"/>
            <w:noWrap/>
            <w:vAlign w:val="center"/>
          </w:tcPr>
          <w:p w14:paraId="0ADE902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2E5315">
              <w:rPr>
                <w:rFonts w:cs="Calibri"/>
                <w:color w:val="000000"/>
                <w:sz w:val="16"/>
                <w:szCs w:val="16"/>
              </w:rPr>
              <w:t>14.265,00</w:t>
            </w:r>
          </w:p>
        </w:tc>
      </w:tr>
      <w:tr w:rsidR="0085052B" w:rsidRPr="002E5315" w14:paraId="195F3E5D"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02276353" w14:textId="77777777" w:rsidR="0085052B" w:rsidRPr="002E5315" w:rsidRDefault="0085052B" w:rsidP="0085052B">
            <w:pPr>
              <w:jc w:val="right"/>
              <w:rPr>
                <w:rFonts w:cs="Calibri"/>
                <w:color w:val="000000"/>
                <w:sz w:val="16"/>
                <w:szCs w:val="16"/>
              </w:rPr>
            </w:pPr>
            <w:r w:rsidRPr="002E5315">
              <w:rPr>
                <w:rFonts w:cs="Calibri"/>
                <w:color w:val="000000"/>
                <w:sz w:val="16"/>
                <w:szCs w:val="16"/>
              </w:rPr>
              <w:t>3237</w:t>
            </w:r>
          </w:p>
        </w:tc>
        <w:tc>
          <w:tcPr>
            <w:tcW w:w="3463" w:type="dxa"/>
            <w:noWrap/>
            <w:vAlign w:val="center"/>
          </w:tcPr>
          <w:p w14:paraId="3C1A069F"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Intelektualne i osobne usluge</w:t>
            </w:r>
          </w:p>
        </w:tc>
        <w:tc>
          <w:tcPr>
            <w:tcW w:w="1214" w:type="dxa"/>
            <w:noWrap/>
            <w:vAlign w:val="center"/>
          </w:tcPr>
          <w:p w14:paraId="4D7CE6B1"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23.000,00</w:t>
            </w:r>
          </w:p>
        </w:tc>
        <w:tc>
          <w:tcPr>
            <w:tcW w:w="1276" w:type="dxa"/>
            <w:noWrap/>
            <w:vAlign w:val="center"/>
          </w:tcPr>
          <w:p w14:paraId="4BAAF87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11.841,13</w:t>
            </w:r>
          </w:p>
        </w:tc>
        <w:tc>
          <w:tcPr>
            <w:tcW w:w="978" w:type="dxa"/>
            <w:noWrap/>
            <w:vAlign w:val="center"/>
          </w:tcPr>
          <w:p w14:paraId="790B5AE6"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51,48%</w:t>
            </w:r>
          </w:p>
        </w:tc>
        <w:tc>
          <w:tcPr>
            <w:tcW w:w="1256" w:type="dxa"/>
            <w:gridSpan w:val="2"/>
            <w:noWrap/>
            <w:vAlign w:val="center"/>
          </w:tcPr>
          <w:p w14:paraId="43AB300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11.158,87</w:t>
            </w:r>
          </w:p>
        </w:tc>
      </w:tr>
      <w:tr w:rsidR="0085052B" w:rsidRPr="002E5315" w14:paraId="3A89A2BE"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75E82EE1" w14:textId="77777777" w:rsidR="0085052B" w:rsidRPr="002E5315" w:rsidRDefault="0085052B" w:rsidP="0085052B">
            <w:pPr>
              <w:jc w:val="right"/>
              <w:rPr>
                <w:rFonts w:cs="Calibri"/>
                <w:color w:val="000000"/>
                <w:sz w:val="16"/>
                <w:szCs w:val="16"/>
              </w:rPr>
            </w:pPr>
            <w:r w:rsidRPr="002E5315">
              <w:rPr>
                <w:rFonts w:cs="Calibri"/>
                <w:color w:val="000000"/>
                <w:sz w:val="16"/>
                <w:szCs w:val="16"/>
              </w:rPr>
              <w:t>3238</w:t>
            </w:r>
          </w:p>
        </w:tc>
        <w:tc>
          <w:tcPr>
            <w:tcW w:w="3463" w:type="dxa"/>
            <w:noWrap/>
            <w:vAlign w:val="center"/>
          </w:tcPr>
          <w:p w14:paraId="675B574F"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Računalne usluge</w:t>
            </w:r>
          </w:p>
        </w:tc>
        <w:tc>
          <w:tcPr>
            <w:tcW w:w="1214" w:type="dxa"/>
            <w:noWrap/>
            <w:vAlign w:val="center"/>
          </w:tcPr>
          <w:p w14:paraId="36316F5B"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14.000,00</w:t>
            </w:r>
          </w:p>
        </w:tc>
        <w:tc>
          <w:tcPr>
            <w:tcW w:w="1276" w:type="dxa"/>
            <w:noWrap/>
            <w:vAlign w:val="center"/>
          </w:tcPr>
          <w:p w14:paraId="2189C0FD"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978" w:type="dxa"/>
            <w:noWrap/>
            <w:vAlign w:val="center"/>
          </w:tcPr>
          <w:p w14:paraId="3CBD75F7"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0,00%</w:t>
            </w:r>
          </w:p>
        </w:tc>
        <w:tc>
          <w:tcPr>
            <w:tcW w:w="1256" w:type="dxa"/>
            <w:gridSpan w:val="2"/>
            <w:noWrap/>
            <w:vAlign w:val="center"/>
          </w:tcPr>
          <w:p w14:paraId="4B63463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color w:val="000000"/>
                <w:sz w:val="16"/>
                <w:szCs w:val="16"/>
              </w:rPr>
              <w:t>14.000,00</w:t>
            </w:r>
          </w:p>
        </w:tc>
      </w:tr>
      <w:tr w:rsidR="0085052B" w:rsidRPr="002E5315" w14:paraId="5026B206"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4D35290A" w14:textId="77777777" w:rsidR="0085052B" w:rsidRPr="002E5315" w:rsidRDefault="0085052B" w:rsidP="0085052B">
            <w:pPr>
              <w:jc w:val="right"/>
              <w:rPr>
                <w:rFonts w:cs="Calibri"/>
                <w:color w:val="000000"/>
                <w:sz w:val="16"/>
                <w:szCs w:val="16"/>
              </w:rPr>
            </w:pPr>
            <w:r w:rsidRPr="002E5315">
              <w:rPr>
                <w:rFonts w:cs="Calibri"/>
                <w:color w:val="000000"/>
                <w:sz w:val="16"/>
                <w:szCs w:val="16"/>
              </w:rPr>
              <w:t>3239</w:t>
            </w:r>
          </w:p>
        </w:tc>
        <w:tc>
          <w:tcPr>
            <w:tcW w:w="3463" w:type="dxa"/>
            <w:noWrap/>
            <w:vAlign w:val="center"/>
          </w:tcPr>
          <w:p w14:paraId="0B74528E"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Ostale usluge</w:t>
            </w:r>
          </w:p>
        </w:tc>
        <w:tc>
          <w:tcPr>
            <w:tcW w:w="1214" w:type="dxa"/>
            <w:noWrap/>
            <w:vAlign w:val="center"/>
          </w:tcPr>
          <w:p w14:paraId="088FD6F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21.000,00</w:t>
            </w:r>
          </w:p>
        </w:tc>
        <w:tc>
          <w:tcPr>
            <w:tcW w:w="1276" w:type="dxa"/>
            <w:noWrap/>
            <w:vAlign w:val="center"/>
          </w:tcPr>
          <w:p w14:paraId="1136C994"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22.073,43</w:t>
            </w:r>
          </w:p>
        </w:tc>
        <w:tc>
          <w:tcPr>
            <w:tcW w:w="978" w:type="dxa"/>
            <w:noWrap/>
            <w:vAlign w:val="center"/>
          </w:tcPr>
          <w:p w14:paraId="7DDFF24D"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105,11%</w:t>
            </w:r>
          </w:p>
        </w:tc>
        <w:tc>
          <w:tcPr>
            <w:tcW w:w="1256" w:type="dxa"/>
            <w:gridSpan w:val="2"/>
            <w:noWrap/>
            <w:vAlign w:val="center"/>
          </w:tcPr>
          <w:p w14:paraId="135F7560"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color w:val="000000"/>
                <w:sz w:val="16"/>
                <w:szCs w:val="16"/>
              </w:rPr>
              <w:t>-1.073,43</w:t>
            </w:r>
          </w:p>
        </w:tc>
      </w:tr>
      <w:tr w:rsidR="0085052B" w:rsidRPr="002E5315" w14:paraId="553CADC8"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77887B53" w14:textId="77777777" w:rsidR="0085052B" w:rsidRPr="002E5315" w:rsidRDefault="0085052B" w:rsidP="0085052B">
            <w:pPr>
              <w:jc w:val="right"/>
              <w:rPr>
                <w:rFonts w:cs="Calibri"/>
                <w:color w:val="000000"/>
                <w:sz w:val="16"/>
                <w:szCs w:val="16"/>
              </w:rPr>
            </w:pPr>
            <w:r w:rsidRPr="002E5315">
              <w:rPr>
                <w:rFonts w:cs="Calibri"/>
                <w:color w:val="000000"/>
                <w:sz w:val="16"/>
                <w:szCs w:val="16"/>
              </w:rPr>
              <w:t>324</w:t>
            </w:r>
          </w:p>
        </w:tc>
        <w:tc>
          <w:tcPr>
            <w:tcW w:w="3463" w:type="dxa"/>
            <w:noWrap/>
            <w:vAlign w:val="center"/>
          </w:tcPr>
          <w:p w14:paraId="49F0159D"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Naknade troškova osobama izvan radnog odnosa</w:t>
            </w:r>
          </w:p>
        </w:tc>
        <w:tc>
          <w:tcPr>
            <w:tcW w:w="1214" w:type="dxa"/>
            <w:noWrap/>
            <w:vAlign w:val="center"/>
          </w:tcPr>
          <w:p w14:paraId="1A7A089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62.000,00</w:t>
            </w:r>
          </w:p>
        </w:tc>
        <w:tc>
          <w:tcPr>
            <w:tcW w:w="1276" w:type="dxa"/>
            <w:noWrap/>
            <w:vAlign w:val="center"/>
          </w:tcPr>
          <w:p w14:paraId="56A97468"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13.389,16</w:t>
            </w:r>
          </w:p>
        </w:tc>
        <w:tc>
          <w:tcPr>
            <w:tcW w:w="978" w:type="dxa"/>
            <w:noWrap/>
            <w:vAlign w:val="center"/>
          </w:tcPr>
          <w:p w14:paraId="3DE39FE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21,60%</w:t>
            </w:r>
          </w:p>
        </w:tc>
        <w:tc>
          <w:tcPr>
            <w:tcW w:w="1256" w:type="dxa"/>
            <w:gridSpan w:val="2"/>
            <w:noWrap/>
            <w:vAlign w:val="center"/>
          </w:tcPr>
          <w:p w14:paraId="607A7739"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2E5315">
              <w:rPr>
                <w:rFonts w:cs="Calibri"/>
                <w:b/>
                <w:bCs/>
                <w:color w:val="000000"/>
                <w:sz w:val="16"/>
                <w:szCs w:val="16"/>
              </w:rPr>
              <w:t>48.610,84</w:t>
            </w:r>
          </w:p>
        </w:tc>
      </w:tr>
      <w:tr w:rsidR="0085052B" w:rsidRPr="002E5315" w14:paraId="74C7CF47"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13E3B6F6" w14:textId="77777777" w:rsidR="0085052B" w:rsidRPr="002E5315" w:rsidRDefault="0085052B" w:rsidP="0085052B">
            <w:pPr>
              <w:jc w:val="right"/>
              <w:rPr>
                <w:rFonts w:cs="Calibri"/>
                <w:color w:val="000000"/>
                <w:sz w:val="16"/>
                <w:szCs w:val="16"/>
              </w:rPr>
            </w:pPr>
            <w:r w:rsidRPr="002E5315">
              <w:rPr>
                <w:rFonts w:cs="Calibri"/>
                <w:color w:val="000000"/>
                <w:sz w:val="16"/>
                <w:szCs w:val="16"/>
              </w:rPr>
              <w:t>3241</w:t>
            </w:r>
          </w:p>
        </w:tc>
        <w:tc>
          <w:tcPr>
            <w:tcW w:w="3463" w:type="dxa"/>
            <w:noWrap/>
            <w:vAlign w:val="center"/>
          </w:tcPr>
          <w:p w14:paraId="21EEC506"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bCs/>
                <w:color w:val="000000"/>
                <w:sz w:val="16"/>
                <w:szCs w:val="16"/>
              </w:rPr>
              <w:t>Naknade troškova osobama izvan radnog odnosa</w:t>
            </w:r>
          </w:p>
        </w:tc>
        <w:tc>
          <w:tcPr>
            <w:tcW w:w="1214" w:type="dxa"/>
            <w:noWrap/>
            <w:vAlign w:val="center"/>
          </w:tcPr>
          <w:p w14:paraId="60093FD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Cs/>
                <w:color w:val="000000"/>
                <w:sz w:val="16"/>
                <w:szCs w:val="16"/>
              </w:rPr>
              <w:t>62.000,00</w:t>
            </w:r>
          </w:p>
        </w:tc>
        <w:tc>
          <w:tcPr>
            <w:tcW w:w="1276" w:type="dxa"/>
            <w:noWrap/>
            <w:vAlign w:val="center"/>
          </w:tcPr>
          <w:p w14:paraId="5DE3BC1A"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Cs/>
                <w:color w:val="000000"/>
                <w:sz w:val="16"/>
                <w:szCs w:val="16"/>
              </w:rPr>
              <w:t>13.389,16</w:t>
            </w:r>
          </w:p>
        </w:tc>
        <w:tc>
          <w:tcPr>
            <w:tcW w:w="978" w:type="dxa"/>
            <w:noWrap/>
            <w:vAlign w:val="center"/>
          </w:tcPr>
          <w:p w14:paraId="04B421D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Cs/>
                <w:color w:val="000000"/>
                <w:sz w:val="16"/>
                <w:szCs w:val="16"/>
              </w:rPr>
              <w:t>21,60%</w:t>
            </w:r>
          </w:p>
        </w:tc>
        <w:tc>
          <w:tcPr>
            <w:tcW w:w="1256" w:type="dxa"/>
            <w:gridSpan w:val="2"/>
            <w:noWrap/>
            <w:vAlign w:val="center"/>
          </w:tcPr>
          <w:p w14:paraId="0D82FA45"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2E5315">
              <w:rPr>
                <w:rFonts w:cs="Calibri"/>
                <w:bCs/>
                <w:color w:val="000000"/>
                <w:sz w:val="16"/>
                <w:szCs w:val="16"/>
              </w:rPr>
              <w:t>48.610,84</w:t>
            </w:r>
          </w:p>
        </w:tc>
      </w:tr>
      <w:tr w:rsidR="0085052B" w:rsidRPr="002E5315" w14:paraId="0673DD54"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3067C90F" w14:textId="77777777" w:rsidR="0085052B" w:rsidRPr="002E5315" w:rsidRDefault="0085052B" w:rsidP="0085052B">
            <w:pPr>
              <w:jc w:val="right"/>
              <w:rPr>
                <w:rFonts w:cs="Calibri"/>
                <w:color w:val="000000"/>
                <w:sz w:val="16"/>
                <w:szCs w:val="16"/>
              </w:rPr>
            </w:pPr>
            <w:r w:rsidRPr="002E5315">
              <w:rPr>
                <w:rFonts w:cs="Calibri"/>
                <w:color w:val="000000"/>
                <w:sz w:val="16"/>
                <w:szCs w:val="16"/>
              </w:rPr>
              <w:t>329</w:t>
            </w:r>
          </w:p>
        </w:tc>
        <w:tc>
          <w:tcPr>
            <w:tcW w:w="3463" w:type="dxa"/>
            <w:noWrap/>
            <w:vAlign w:val="center"/>
          </w:tcPr>
          <w:p w14:paraId="18991E71"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
                <w:bCs/>
                <w:color w:val="000000"/>
                <w:sz w:val="16"/>
                <w:szCs w:val="16"/>
              </w:rPr>
              <w:t>Ostali nespomenuti rashodi poslovanja</w:t>
            </w:r>
          </w:p>
        </w:tc>
        <w:tc>
          <w:tcPr>
            <w:tcW w:w="1214" w:type="dxa"/>
            <w:noWrap/>
            <w:vAlign w:val="center"/>
          </w:tcPr>
          <w:p w14:paraId="45318E4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
                <w:bCs/>
                <w:color w:val="000000"/>
                <w:sz w:val="16"/>
                <w:szCs w:val="16"/>
              </w:rPr>
              <w:t>37.500,00</w:t>
            </w:r>
          </w:p>
        </w:tc>
        <w:tc>
          <w:tcPr>
            <w:tcW w:w="1276" w:type="dxa"/>
            <w:noWrap/>
            <w:vAlign w:val="center"/>
          </w:tcPr>
          <w:p w14:paraId="192CCAC2"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
                <w:bCs/>
                <w:color w:val="000000"/>
                <w:sz w:val="16"/>
                <w:szCs w:val="16"/>
              </w:rPr>
              <w:t>6.196,72</w:t>
            </w:r>
          </w:p>
        </w:tc>
        <w:tc>
          <w:tcPr>
            <w:tcW w:w="978" w:type="dxa"/>
            <w:noWrap/>
            <w:vAlign w:val="center"/>
          </w:tcPr>
          <w:p w14:paraId="666B437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
                <w:bCs/>
                <w:color w:val="000000"/>
                <w:sz w:val="16"/>
                <w:szCs w:val="16"/>
              </w:rPr>
              <w:t>16,52%</w:t>
            </w:r>
          </w:p>
        </w:tc>
        <w:tc>
          <w:tcPr>
            <w:tcW w:w="1256" w:type="dxa"/>
            <w:gridSpan w:val="2"/>
            <w:noWrap/>
            <w:vAlign w:val="center"/>
          </w:tcPr>
          <w:p w14:paraId="3C077DDA"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rFonts w:cs="Calibri"/>
                <w:bCs/>
                <w:color w:val="000000"/>
                <w:sz w:val="16"/>
                <w:szCs w:val="16"/>
              </w:rPr>
            </w:pPr>
            <w:r w:rsidRPr="002E5315">
              <w:rPr>
                <w:rFonts w:cs="Calibri"/>
                <w:b/>
                <w:bCs/>
                <w:color w:val="000000"/>
                <w:sz w:val="16"/>
                <w:szCs w:val="16"/>
              </w:rPr>
              <w:t>31.303,28</w:t>
            </w:r>
          </w:p>
        </w:tc>
      </w:tr>
      <w:tr w:rsidR="0085052B" w:rsidRPr="002E5315" w14:paraId="3ABFD971"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25FE9DC8" w14:textId="77777777" w:rsidR="0085052B" w:rsidRPr="002E5315" w:rsidRDefault="0085052B" w:rsidP="0085052B">
            <w:pPr>
              <w:jc w:val="right"/>
              <w:rPr>
                <w:rFonts w:cs="Calibri"/>
                <w:color w:val="000000"/>
                <w:sz w:val="16"/>
                <w:szCs w:val="16"/>
              </w:rPr>
            </w:pPr>
            <w:r w:rsidRPr="002E5315">
              <w:rPr>
                <w:rFonts w:cs="Calibri"/>
                <w:color w:val="000000"/>
                <w:sz w:val="16"/>
                <w:szCs w:val="16"/>
              </w:rPr>
              <w:t>3293</w:t>
            </w:r>
          </w:p>
        </w:tc>
        <w:tc>
          <w:tcPr>
            <w:tcW w:w="3463" w:type="dxa"/>
            <w:noWrap/>
            <w:vAlign w:val="center"/>
          </w:tcPr>
          <w:p w14:paraId="33F7D953"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2E5315">
              <w:rPr>
                <w:rFonts w:cs="Calibri"/>
                <w:color w:val="000000"/>
                <w:sz w:val="16"/>
                <w:szCs w:val="16"/>
              </w:rPr>
              <w:t>Reprezentacija</w:t>
            </w:r>
          </w:p>
        </w:tc>
        <w:tc>
          <w:tcPr>
            <w:tcW w:w="1214" w:type="dxa"/>
            <w:noWrap/>
            <w:vAlign w:val="center"/>
          </w:tcPr>
          <w:p w14:paraId="46590C8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37.500,00</w:t>
            </w:r>
          </w:p>
        </w:tc>
        <w:tc>
          <w:tcPr>
            <w:tcW w:w="1276" w:type="dxa"/>
            <w:noWrap/>
            <w:vAlign w:val="center"/>
          </w:tcPr>
          <w:p w14:paraId="6143A7C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6.196,72</w:t>
            </w:r>
          </w:p>
        </w:tc>
        <w:tc>
          <w:tcPr>
            <w:tcW w:w="978" w:type="dxa"/>
            <w:noWrap/>
            <w:vAlign w:val="center"/>
          </w:tcPr>
          <w:p w14:paraId="7B87A732"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16,52%</w:t>
            </w:r>
          </w:p>
        </w:tc>
        <w:tc>
          <w:tcPr>
            <w:tcW w:w="1256" w:type="dxa"/>
            <w:gridSpan w:val="2"/>
            <w:noWrap/>
            <w:vAlign w:val="center"/>
          </w:tcPr>
          <w:p w14:paraId="1E2634A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6"/>
                <w:szCs w:val="16"/>
              </w:rPr>
            </w:pPr>
            <w:r w:rsidRPr="002E5315">
              <w:rPr>
                <w:rFonts w:cs="Calibri"/>
                <w:bCs/>
                <w:color w:val="000000"/>
                <w:sz w:val="16"/>
                <w:szCs w:val="16"/>
              </w:rPr>
              <w:t>31.303,28</w:t>
            </w:r>
          </w:p>
        </w:tc>
      </w:tr>
      <w:tr w:rsidR="0085052B" w:rsidRPr="002E5315" w14:paraId="562BD53A"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6D05A2E8" w14:textId="77777777" w:rsidR="0085052B" w:rsidRPr="002E5315" w:rsidRDefault="0085052B" w:rsidP="0085052B">
            <w:pPr>
              <w:jc w:val="right"/>
              <w:rPr>
                <w:sz w:val="16"/>
                <w:szCs w:val="16"/>
              </w:rPr>
            </w:pPr>
            <w:r w:rsidRPr="002E5315">
              <w:rPr>
                <w:sz w:val="16"/>
                <w:szCs w:val="16"/>
              </w:rPr>
              <w:t>343</w:t>
            </w:r>
          </w:p>
        </w:tc>
        <w:tc>
          <w:tcPr>
            <w:tcW w:w="3463" w:type="dxa"/>
            <w:noWrap/>
            <w:vAlign w:val="center"/>
          </w:tcPr>
          <w:p w14:paraId="0C479CD7"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Ostali financijski rashodi</w:t>
            </w:r>
          </w:p>
        </w:tc>
        <w:tc>
          <w:tcPr>
            <w:tcW w:w="1214" w:type="dxa"/>
            <w:noWrap/>
            <w:vAlign w:val="center"/>
          </w:tcPr>
          <w:p w14:paraId="32588FA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2.000,00</w:t>
            </w:r>
          </w:p>
        </w:tc>
        <w:tc>
          <w:tcPr>
            <w:tcW w:w="1276" w:type="dxa"/>
            <w:noWrap/>
            <w:vAlign w:val="center"/>
          </w:tcPr>
          <w:p w14:paraId="0A8B4E8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0,00</w:t>
            </w:r>
          </w:p>
        </w:tc>
        <w:tc>
          <w:tcPr>
            <w:tcW w:w="978" w:type="dxa"/>
            <w:noWrap/>
            <w:vAlign w:val="center"/>
          </w:tcPr>
          <w:p w14:paraId="1D4FB974"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 xml:space="preserve"> 0,00%</w:t>
            </w:r>
          </w:p>
        </w:tc>
        <w:tc>
          <w:tcPr>
            <w:tcW w:w="1256" w:type="dxa"/>
            <w:gridSpan w:val="2"/>
            <w:noWrap/>
            <w:vAlign w:val="center"/>
          </w:tcPr>
          <w:p w14:paraId="168A6405"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2.000,00</w:t>
            </w:r>
          </w:p>
        </w:tc>
      </w:tr>
      <w:tr w:rsidR="0085052B" w:rsidRPr="002E5315" w14:paraId="1FEB4F42"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6AA001DC" w14:textId="77777777" w:rsidR="0085052B" w:rsidRPr="002E5315" w:rsidRDefault="0085052B" w:rsidP="0085052B">
            <w:pPr>
              <w:jc w:val="right"/>
              <w:rPr>
                <w:sz w:val="16"/>
                <w:szCs w:val="16"/>
              </w:rPr>
            </w:pPr>
            <w:r w:rsidRPr="002E5315">
              <w:rPr>
                <w:sz w:val="16"/>
                <w:szCs w:val="16"/>
              </w:rPr>
              <w:t>3431</w:t>
            </w:r>
          </w:p>
        </w:tc>
        <w:tc>
          <w:tcPr>
            <w:tcW w:w="3463" w:type="dxa"/>
            <w:noWrap/>
            <w:vAlign w:val="center"/>
          </w:tcPr>
          <w:p w14:paraId="1774556D"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Bankarske usluge i usluge platnog prometa</w:t>
            </w:r>
          </w:p>
        </w:tc>
        <w:tc>
          <w:tcPr>
            <w:tcW w:w="1214" w:type="dxa"/>
            <w:noWrap/>
            <w:vAlign w:val="center"/>
          </w:tcPr>
          <w:p w14:paraId="64FDFDC7"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2.000,00</w:t>
            </w:r>
          </w:p>
        </w:tc>
        <w:tc>
          <w:tcPr>
            <w:tcW w:w="1276" w:type="dxa"/>
            <w:noWrap/>
            <w:vAlign w:val="center"/>
          </w:tcPr>
          <w:p w14:paraId="7EFDAA8F"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0,00</w:t>
            </w:r>
          </w:p>
        </w:tc>
        <w:tc>
          <w:tcPr>
            <w:tcW w:w="978" w:type="dxa"/>
            <w:noWrap/>
            <w:vAlign w:val="center"/>
          </w:tcPr>
          <w:p w14:paraId="64852609"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 xml:space="preserve"> 0,00%</w:t>
            </w:r>
          </w:p>
        </w:tc>
        <w:tc>
          <w:tcPr>
            <w:tcW w:w="1256" w:type="dxa"/>
            <w:gridSpan w:val="2"/>
            <w:noWrap/>
            <w:vAlign w:val="center"/>
          </w:tcPr>
          <w:p w14:paraId="63110B4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2.000,00</w:t>
            </w:r>
          </w:p>
        </w:tc>
      </w:tr>
      <w:tr w:rsidR="0085052B" w:rsidRPr="002E5315" w14:paraId="4CC22B8A" w14:textId="77777777" w:rsidTr="00FB52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214C58FE" w14:textId="77777777" w:rsidR="0085052B" w:rsidRPr="002E5315" w:rsidRDefault="0085052B" w:rsidP="0085052B">
            <w:pPr>
              <w:jc w:val="right"/>
              <w:rPr>
                <w:sz w:val="16"/>
                <w:szCs w:val="16"/>
              </w:rPr>
            </w:pPr>
            <w:r w:rsidRPr="002E5315">
              <w:rPr>
                <w:sz w:val="16"/>
                <w:szCs w:val="16"/>
              </w:rPr>
              <w:t>422</w:t>
            </w:r>
          </w:p>
        </w:tc>
        <w:tc>
          <w:tcPr>
            <w:tcW w:w="3463" w:type="dxa"/>
            <w:noWrap/>
            <w:vAlign w:val="center"/>
          </w:tcPr>
          <w:p w14:paraId="08FEBCBA" w14:textId="77777777" w:rsidR="0085052B" w:rsidRPr="002E5315" w:rsidRDefault="0085052B" w:rsidP="0085052B">
            <w:pPr>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Postrojenja i oprema</w:t>
            </w:r>
          </w:p>
        </w:tc>
        <w:tc>
          <w:tcPr>
            <w:tcW w:w="1214" w:type="dxa"/>
            <w:noWrap/>
            <w:vAlign w:val="center"/>
          </w:tcPr>
          <w:p w14:paraId="2F9AE4BE"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12.000,00</w:t>
            </w:r>
          </w:p>
        </w:tc>
        <w:tc>
          <w:tcPr>
            <w:tcW w:w="1276" w:type="dxa"/>
            <w:noWrap/>
            <w:vAlign w:val="center"/>
          </w:tcPr>
          <w:p w14:paraId="64461733"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380,88</w:t>
            </w:r>
          </w:p>
        </w:tc>
        <w:tc>
          <w:tcPr>
            <w:tcW w:w="978" w:type="dxa"/>
            <w:noWrap/>
            <w:vAlign w:val="center"/>
          </w:tcPr>
          <w:p w14:paraId="6FF4F8FC"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3,17%</w:t>
            </w:r>
          </w:p>
        </w:tc>
        <w:tc>
          <w:tcPr>
            <w:tcW w:w="1256" w:type="dxa"/>
            <w:gridSpan w:val="2"/>
            <w:noWrap/>
            <w:vAlign w:val="center"/>
          </w:tcPr>
          <w:p w14:paraId="2400C63F" w14:textId="77777777" w:rsidR="0085052B" w:rsidRPr="002E5315" w:rsidRDefault="0085052B" w:rsidP="0085052B">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2E5315">
              <w:rPr>
                <w:b/>
                <w:sz w:val="16"/>
                <w:szCs w:val="16"/>
              </w:rPr>
              <w:t>11.619,12</w:t>
            </w:r>
          </w:p>
        </w:tc>
      </w:tr>
      <w:tr w:rsidR="0085052B" w:rsidRPr="002E5315" w14:paraId="21995833" w14:textId="77777777" w:rsidTr="00FB52CC">
        <w:trPr>
          <w:trHeight w:val="227"/>
        </w:trPr>
        <w:tc>
          <w:tcPr>
            <w:cnfStyle w:val="001000000000" w:firstRow="0" w:lastRow="0" w:firstColumn="1" w:lastColumn="0" w:oddVBand="0" w:evenVBand="0" w:oddHBand="0" w:evenHBand="0" w:firstRowFirstColumn="0" w:firstRowLastColumn="0" w:lastRowFirstColumn="0" w:lastRowLastColumn="0"/>
            <w:tcW w:w="1101" w:type="dxa"/>
            <w:noWrap/>
            <w:vAlign w:val="center"/>
          </w:tcPr>
          <w:p w14:paraId="500D2001" w14:textId="77777777" w:rsidR="0085052B" w:rsidRPr="002E5315" w:rsidRDefault="0085052B" w:rsidP="0085052B">
            <w:pPr>
              <w:jc w:val="right"/>
              <w:rPr>
                <w:sz w:val="16"/>
                <w:szCs w:val="16"/>
              </w:rPr>
            </w:pPr>
            <w:r w:rsidRPr="002E5315">
              <w:rPr>
                <w:sz w:val="16"/>
                <w:szCs w:val="16"/>
              </w:rPr>
              <w:t>4221</w:t>
            </w:r>
          </w:p>
        </w:tc>
        <w:tc>
          <w:tcPr>
            <w:tcW w:w="3463" w:type="dxa"/>
            <w:noWrap/>
            <w:vAlign w:val="center"/>
          </w:tcPr>
          <w:p w14:paraId="22919C29" w14:textId="77777777" w:rsidR="0085052B" w:rsidRPr="002E5315" w:rsidRDefault="0085052B" w:rsidP="0085052B">
            <w:pPr>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Uredska oprema i namještaj</w:t>
            </w:r>
          </w:p>
        </w:tc>
        <w:tc>
          <w:tcPr>
            <w:tcW w:w="1214" w:type="dxa"/>
            <w:noWrap/>
            <w:vAlign w:val="center"/>
          </w:tcPr>
          <w:p w14:paraId="4720838C"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12.000,00</w:t>
            </w:r>
          </w:p>
        </w:tc>
        <w:tc>
          <w:tcPr>
            <w:tcW w:w="1276" w:type="dxa"/>
            <w:noWrap/>
            <w:vAlign w:val="center"/>
          </w:tcPr>
          <w:p w14:paraId="4563639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380,88</w:t>
            </w:r>
          </w:p>
        </w:tc>
        <w:tc>
          <w:tcPr>
            <w:tcW w:w="978" w:type="dxa"/>
            <w:noWrap/>
            <w:vAlign w:val="center"/>
          </w:tcPr>
          <w:p w14:paraId="10F111A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3,17%</w:t>
            </w:r>
          </w:p>
        </w:tc>
        <w:tc>
          <w:tcPr>
            <w:tcW w:w="1256" w:type="dxa"/>
            <w:gridSpan w:val="2"/>
            <w:noWrap/>
            <w:vAlign w:val="center"/>
          </w:tcPr>
          <w:p w14:paraId="0B3F973B" w14:textId="77777777" w:rsidR="0085052B" w:rsidRPr="002E5315" w:rsidRDefault="0085052B" w:rsidP="0085052B">
            <w:pPr>
              <w:jc w:val="right"/>
              <w:cnfStyle w:val="000000000000" w:firstRow="0" w:lastRow="0" w:firstColumn="0" w:lastColumn="0" w:oddVBand="0" w:evenVBand="0" w:oddHBand="0" w:evenHBand="0" w:firstRowFirstColumn="0" w:firstRowLastColumn="0" w:lastRowFirstColumn="0" w:lastRowLastColumn="0"/>
              <w:rPr>
                <w:sz w:val="16"/>
                <w:szCs w:val="16"/>
              </w:rPr>
            </w:pPr>
            <w:r w:rsidRPr="002E5315">
              <w:rPr>
                <w:sz w:val="16"/>
                <w:szCs w:val="16"/>
              </w:rPr>
              <w:t>11.619,12</w:t>
            </w:r>
          </w:p>
        </w:tc>
      </w:tr>
    </w:tbl>
    <w:p w14:paraId="6547EC0B" w14:textId="1E178ACB" w:rsidR="0085052B" w:rsidRPr="002E5315" w:rsidRDefault="0085052B" w:rsidP="00B43BF0">
      <w:pPr>
        <w:pStyle w:val="Naslov1"/>
      </w:pPr>
      <w:bookmarkStart w:id="116" w:name="_Toc36309003"/>
      <w:r w:rsidRPr="002E5315">
        <w:t>Aktivnosti Ureda povjerenika</w:t>
      </w:r>
      <w:bookmarkEnd w:id="116"/>
    </w:p>
    <w:p w14:paraId="13374C66" w14:textId="57D49E22" w:rsidR="0085052B" w:rsidRPr="002E5315" w:rsidRDefault="0085052B" w:rsidP="00B43BF0">
      <w:pPr>
        <w:pStyle w:val="Naslov2"/>
      </w:pPr>
      <w:bookmarkStart w:id="117" w:name="_Toc36309004"/>
      <w:r w:rsidRPr="002E5315">
        <w:t>Predmeti i akti</w:t>
      </w:r>
      <w:bookmarkEnd w:id="117"/>
    </w:p>
    <w:p w14:paraId="4B6B124C" w14:textId="77777777" w:rsidR="005D44BA" w:rsidRPr="002E5315" w:rsidRDefault="005D44BA" w:rsidP="005D44BA">
      <w:pPr>
        <w:rPr>
          <w:rFonts w:cs="Segoe UI"/>
          <w:szCs w:val="23"/>
        </w:rPr>
      </w:pPr>
      <w:r w:rsidRPr="002E5315">
        <w:rPr>
          <w:rFonts w:cs="Segoe UI"/>
          <w:szCs w:val="23"/>
        </w:rPr>
        <w:t>U ostvarivanju zaštitne, nadzorne i promotivne funkcije u područjima prava na pristup i ponovne uporabe informacija te savjetovanja s javnošću, Ured povjerenika obavlja različite poslove, od provedbe žalbenog postupka, inspekcijskog nadzora, postupanja po predstavkama, pružanja pomoći tijelima i korisnicima, praćenja stanja kroz prikupljanje i analizu podataka, obavljanja edukativnih i promotivnih aktivnosti, informiranja javnosti i sl. U tu svrhu djeluje samostalno ili u suradnji s drugim tijelima, udrugama civilnog društva i drugim partnerima, kako domaćim, tako i međunarodnim.</w:t>
      </w:r>
    </w:p>
    <w:p w14:paraId="65A9BC22" w14:textId="77777777" w:rsidR="005D44BA" w:rsidRPr="002E5315" w:rsidRDefault="005D44BA" w:rsidP="005D44BA">
      <w:pPr>
        <w:rPr>
          <w:rFonts w:cs="Segoe UI"/>
          <w:szCs w:val="23"/>
          <w:u w:val="single"/>
        </w:rPr>
      </w:pPr>
      <w:r w:rsidRPr="002E5315">
        <w:rPr>
          <w:rFonts w:cs="Segoe UI"/>
          <w:szCs w:val="23"/>
        </w:rPr>
        <w:t>Ured povjerenika sudjeluje u provedbi zadaća Povjerenika propisanih odredbama ZPPI-ja, posebnih propisa te u provedbi dodatnih zadaća utvrđenih mjerama iz strateških dokumenata.</w:t>
      </w:r>
    </w:p>
    <w:p w14:paraId="3BA34BFA" w14:textId="77777777" w:rsidR="005D44BA" w:rsidRPr="002E5315" w:rsidRDefault="005D44BA" w:rsidP="005D44BA">
      <w:pPr>
        <w:rPr>
          <w:rFonts w:cs="Segoe UI"/>
          <w:szCs w:val="23"/>
        </w:rPr>
      </w:pPr>
      <w:r w:rsidRPr="002E5315">
        <w:rPr>
          <w:rFonts w:cs="Segoe UI"/>
          <w:szCs w:val="23"/>
        </w:rPr>
        <w:t xml:space="preserve">Kao najznačajnije pokazatelje djelovanja Ureda povjerenika tijekom 2019., osim onih koji su u posebnim poglavljima ovog izvješća analizirani, dodatno valja istaknuti: </w:t>
      </w:r>
    </w:p>
    <w:p w14:paraId="02A697AE" w14:textId="24BFBA40" w:rsidR="005D44BA" w:rsidRPr="002E5315" w:rsidRDefault="005D44BA" w:rsidP="005D44BA">
      <w:pPr>
        <w:numPr>
          <w:ilvl w:val="0"/>
          <w:numId w:val="5"/>
        </w:numPr>
        <w:contextualSpacing/>
        <w:rPr>
          <w:rFonts w:cs="Segoe UI"/>
          <w:szCs w:val="23"/>
        </w:rPr>
      </w:pPr>
      <w:r w:rsidRPr="002E5315">
        <w:rPr>
          <w:rFonts w:cs="Segoe UI"/>
          <w:szCs w:val="23"/>
        </w:rPr>
        <w:t>zaprimljena</w:t>
      </w:r>
      <w:r w:rsidR="00954DB8" w:rsidRPr="002E5315">
        <w:rPr>
          <w:rFonts w:cs="Segoe UI"/>
          <w:szCs w:val="23"/>
        </w:rPr>
        <w:t xml:space="preserve"> </w:t>
      </w:r>
      <w:r w:rsidRPr="002E5315">
        <w:rPr>
          <w:rFonts w:cs="Segoe UI"/>
          <w:szCs w:val="23"/>
        </w:rPr>
        <w:t>su 2.372 predmeta</w:t>
      </w:r>
    </w:p>
    <w:p w14:paraId="4C15AA3A" w14:textId="6FA54B65" w:rsidR="005D44BA" w:rsidRPr="002E5315" w:rsidRDefault="005D44BA" w:rsidP="005D44BA">
      <w:pPr>
        <w:numPr>
          <w:ilvl w:val="0"/>
          <w:numId w:val="5"/>
        </w:numPr>
        <w:contextualSpacing/>
        <w:rPr>
          <w:rFonts w:cs="Segoe UI"/>
          <w:szCs w:val="23"/>
        </w:rPr>
      </w:pPr>
      <w:r w:rsidRPr="002E5315">
        <w:rPr>
          <w:rFonts w:cs="Segoe UI"/>
          <w:szCs w:val="23"/>
        </w:rPr>
        <w:t>izrađen je</w:t>
      </w:r>
      <w:r w:rsidR="00954DB8" w:rsidRPr="002E5315">
        <w:rPr>
          <w:rFonts w:cs="Segoe UI"/>
          <w:szCs w:val="23"/>
        </w:rPr>
        <w:t xml:space="preserve"> </w:t>
      </w:r>
      <w:r w:rsidRPr="002E5315">
        <w:rPr>
          <w:rFonts w:cs="Segoe UI"/>
          <w:szCs w:val="23"/>
        </w:rPr>
        <w:t>4901 izlazni akt</w:t>
      </w:r>
    </w:p>
    <w:p w14:paraId="76305FDE" w14:textId="77777777" w:rsidR="005D44BA" w:rsidRPr="002E5315" w:rsidRDefault="005D44BA" w:rsidP="005D44BA">
      <w:pPr>
        <w:numPr>
          <w:ilvl w:val="0"/>
          <w:numId w:val="5"/>
        </w:numPr>
        <w:contextualSpacing/>
        <w:rPr>
          <w:rFonts w:cs="Segoe UI"/>
          <w:szCs w:val="23"/>
        </w:rPr>
      </w:pPr>
      <w:r w:rsidRPr="002E5315">
        <w:rPr>
          <w:rFonts w:cs="Segoe UI"/>
          <w:szCs w:val="23"/>
        </w:rPr>
        <w:t>nastavljeno je svakodnevno ažuriranje Popisa tijela javne vlasti</w:t>
      </w:r>
    </w:p>
    <w:p w14:paraId="38DAAE9A" w14:textId="77777777" w:rsidR="005D44BA" w:rsidRPr="002E5315" w:rsidRDefault="005D44BA" w:rsidP="005D44BA">
      <w:pPr>
        <w:numPr>
          <w:ilvl w:val="0"/>
          <w:numId w:val="5"/>
        </w:numPr>
        <w:contextualSpacing/>
        <w:rPr>
          <w:rFonts w:cs="Segoe UI"/>
          <w:szCs w:val="23"/>
        </w:rPr>
      </w:pPr>
      <w:r w:rsidRPr="002E5315">
        <w:rPr>
          <w:rFonts w:cs="Segoe UI"/>
          <w:szCs w:val="23"/>
        </w:rPr>
        <w:t>u Tražilici TOM objavljeno je 356 odluka, 8 mišljenja, 6 smjernica i 73 sudske odluke.</w:t>
      </w:r>
    </w:p>
    <w:p w14:paraId="3869139A" w14:textId="77777777" w:rsidR="005D44BA" w:rsidRPr="002E5315" w:rsidRDefault="005D44BA" w:rsidP="005D44BA">
      <w:pPr>
        <w:numPr>
          <w:ilvl w:val="0"/>
          <w:numId w:val="5"/>
        </w:numPr>
        <w:contextualSpacing/>
        <w:rPr>
          <w:szCs w:val="23"/>
        </w:rPr>
      </w:pPr>
      <w:r w:rsidRPr="002E5315">
        <w:rPr>
          <w:szCs w:val="23"/>
        </w:rPr>
        <w:t>u siječnju 2019. prikupljena su godišnja izvješća za 2018. od 4.856 ili 83,77% evidentiranih tijela, izvješća tijela koja su zadužena za pojedine aspekte provedbe ZPPI-ja te podaci stručno-analitičkih praćenja i postupaka i aktivnosti koje provodi Povjerenik (žalbe, predstavke, inspekcijski nadzor i dr.)</w:t>
      </w:r>
    </w:p>
    <w:p w14:paraId="637FA29A" w14:textId="77777777" w:rsidR="00633D93" w:rsidRDefault="005D44BA" w:rsidP="005D44BA">
      <w:pPr>
        <w:numPr>
          <w:ilvl w:val="0"/>
          <w:numId w:val="5"/>
        </w:numPr>
        <w:contextualSpacing/>
        <w:rPr>
          <w:szCs w:val="23"/>
        </w:rPr>
      </w:pPr>
      <w:r w:rsidRPr="002E5315">
        <w:rPr>
          <w:szCs w:val="23"/>
        </w:rPr>
        <w:t>izrađeno je i podneseno Izvješće o provedbi ZPPI-ja za 2018</w:t>
      </w:r>
      <w:r w:rsidR="00633D93">
        <w:rPr>
          <w:szCs w:val="23"/>
        </w:rPr>
        <w:t>.</w:t>
      </w:r>
    </w:p>
    <w:p w14:paraId="545AB24E" w14:textId="5B158441" w:rsidR="005D44BA" w:rsidRPr="002E5315" w:rsidRDefault="005D44BA" w:rsidP="005D44BA">
      <w:pPr>
        <w:numPr>
          <w:ilvl w:val="0"/>
          <w:numId w:val="5"/>
        </w:numPr>
        <w:contextualSpacing/>
        <w:rPr>
          <w:bCs/>
          <w:iCs/>
          <w:szCs w:val="23"/>
        </w:rPr>
      </w:pPr>
      <w:r w:rsidRPr="002E5315">
        <w:rPr>
          <w:bCs/>
          <w:iCs/>
          <w:szCs w:val="23"/>
        </w:rPr>
        <w:t>u okviru provedbe strateških dokumenta, izvršena je ili se kontinuirano izvršava 31 aktivnost u kojima je Povjerenik nositelj ili sunositelj</w:t>
      </w:r>
    </w:p>
    <w:p w14:paraId="36774ABB" w14:textId="77777777" w:rsidR="005D44BA" w:rsidRPr="002E5315" w:rsidRDefault="005D44BA" w:rsidP="005D44BA">
      <w:pPr>
        <w:numPr>
          <w:ilvl w:val="0"/>
          <w:numId w:val="5"/>
        </w:numPr>
        <w:contextualSpacing/>
        <w:rPr>
          <w:szCs w:val="23"/>
        </w:rPr>
      </w:pPr>
      <w:r w:rsidRPr="002E5315">
        <w:rPr>
          <w:szCs w:val="23"/>
        </w:rPr>
        <w:t>izrađeno je pet analitičkih izvješća o praćenju provedbe ZPPI-ja (čl. 10., 11. i 12.) na razini JLP(R)S</w:t>
      </w:r>
    </w:p>
    <w:p w14:paraId="197AAD18" w14:textId="6FC6ED8E" w:rsidR="005D44BA" w:rsidRPr="002E5315" w:rsidRDefault="005D44BA" w:rsidP="005D44BA">
      <w:pPr>
        <w:numPr>
          <w:ilvl w:val="0"/>
          <w:numId w:val="5"/>
        </w:numPr>
        <w:contextualSpacing/>
        <w:rPr>
          <w:szCs w:val="23"/>
        </w:rPr>
      </w:pPr>
      <w:r w:rsidRPr="002E5315">
        <w:rPr>
          <w:szCs w:val="23"/>
        </w:rPr>
        <w:t>izrađena su praćenja ispunjenja obveze pro</w:t>
      </w:r>
      <w:r w:rsidR="003625B0" w:rsidRPr="002E5315">
        <w:rPr>
          <w:szCs w:val="23"/>
        </w:rPr>
        <w:t>a</w:t>
      </w:r>
      <w:r w:rsidRPr="002E5315">
        <w:rPr>
          <w:szCs w:val="23"/>
        </w:rPr>
        <w:t>ktivne objave zakona i drugih propisa na razini ministarstava (20) te proračunskih dokumenata i izvješća komora (26)</w:t>
      </w:r>
    </w:p>
    <w:p w14:paraId="0515B584" w14:textId="40E001CC" w:rsidR="005D44BA" w:rsidRPr="002E5315" w:rsidRDefault="005D44BA" w:rsidP="005D44BA">
      <w:pPr>
        <w:numPr>
          <w:ilvl w:val="0"/>
          <w:numId w:val="5"/>
        </w:numPr>
        <w:contextualSpacing/>
        <w:rPr>
          <w:szCs w:val="23"/>
        </w:rPr>
      </w:pPr>
      <w:r w:rsidRPr="002E5315">
        <w:rPr>
          <w:szCs w:val="23"/>
        </w:rPr>
        <w:t>izrađeno je analitičko izvješće o provedbi savjetovanja s javnošću u tijelima državne uprave i uredima Vlade</w:t>
      </w:r>
      <w:r w:rsidR="00755D59">
        <w:rPr>
          <w:szCs w:val="23"/>
        </w:rPr>
        <w:t xml:space="preserve"> RH</w:t>
      </w:r>
    </w:p>
    <w:p w14:paraId="2CE13C81" w14:textId="77777777" w:rsidR="005D44BA" w:rsidRPr="002E5315" w:rsidRDefault="005D44BA" w:rsidP="008D5DEA">
      <w:pPr>
        <w:spacing w:before="240"/>
        <w:rPr>
          <w:rFonts w:eastAsia="Malgun Gothic"/>
          <w:szCs w:val="23"/>
          <w:lang w:eastAsia="ko-KR"/>
        </w:rPr>
      </w:pPr>
      <w:r w:rsidRPr="002E5315">
        <w:rPr>
          <w:rFonts w:eastAsia="Malgun Gothic"/>
          <w:szCs w:val="23"/>
          <w:lang w:eastAsia="ko-KR"/>
        </w:rPr>
        <w:t>Kao tijelo javne vlasti, Povjerenik je rješavao zahtjeve za pristup informacijama. Od ukupno 19 zaprimljenih zahtjeva za pristup informacijama, na informacije kojima raspolaže Ured povjerenika odnosilo se 17 zahtjeva, dok su 2 zahtjeva ustupljena nadležnim tijelima javne vlasti. Svi zahtjevi za pristup informacijama su riješeni u zakonskom roku.</w:t>
      </w:r>
    </w:p>
    <w:p w14:paraId="09777F2C" w14:textId="77777777" w:rsidR="00633D93" w:rsidRDefault="005D44BA" w:rsidP="005D44BA">
      <w:pPr>
        <w:rPr>
          <w:rFonts w:eastAsia="Malgun Gothic"/>
          <w:szCs w:val="23"/>
          <w:lang w:eastAsia="ko-KR"/>
        </w:rPr>
      </w:pPr>
      <w:r w:rsidRPr="002E5315">
        <w:rPr>
          <w:rFonts w:eastAsia="Malgun Gothic"/>
          <w:szCs w:val="23"/>
          <w:lang w:eastAsia="ko-KR"/>
        </w:rPr>
        <w:t>Zahtjevi iz djelokruga Povjerenika riješeni su na način da je 7 zahtjeva u potpunosti usvojeno, tri su djelomično usvojena (zbog zaštite osobnih podataka), a preostali zahtjevi su riješeni obavještavanjem korisnika da su informacije javno objavljene, da se ne radi o zahtjevu za pristup informacijama, odnosno da je dostupnost informacije osigurana primjenom posebnih propisa</w:t>
      </w:r>
      <w:r w:rsidR="00633D93">
        <w:rPr>
          <w:rFonts w:eastAsia="Malgun Gothic"/>
          <w:szCs w:val="23"/>
          <w:lang w:eastAsia="ko-KR"/>
        </w:rPr>
        <w:t>.</w:t>
      </w:r>
    </w:p>
    <w:p w14:paraId="14132302" w14:textId="328DEADA" w:rsidR="0085052B" w:rsidRPr="002E5315" w:rsidRDefault="0085052B" w:rsidP="00130673">
      <w:pPr>
        <w:pStyle w:val="Naslov2"/>
      </w:pPr>
      <w:bookmarkStart w:id="118" w:name="_Toc36309005"/>
      <w:r w:rsidRPr="002E5315">
        <w:rPr>
          <w:lang w:eastAsia="ko-KR"/>
        </w:rPr>
        <w:t>Upiti korisnika i tijela javne vlasti</w:t>
      </w:r>
      <w:bookmarkEnd w:id="118"/>
    </w:p>
    <w:p w14:paraId="7E934735" w14:textId="306FCD80" w:rsidR="00E56388" w:rsidRPr="002E5315" w:rsidRDefault="00E56388" w:rsidP="00E56388">
      <w:pPr>
        <w:rPr>
          <w:szCs w:val="23"/>
        </w:rPr>
      </w:pPr>
      <w:r w:rsidRPr="002E5315">
        <w:rPr>
          <w:szCs w:val="23"/>
        </w:rPr>
        <w:t>Jedna od aktivnosti Ureda povjerenika odnosi se na svakodnevno pružanje pomoći korisnicima i službenicima za informiranje u tijelima javne vlasti, davanjem odgovora na upite u vezi primjene ZPPI-ja. Zainteresirane osobe obraćaju se Uredu pisanim putem (poštom/elektroničkom poštom) ili dolaskom u Ured povjerenika, a prema potrebi se održavaju sastanci sa tijelima javne vlasti u pogledu pitanja provedbe ZPPI-ja. Jedan od načina pružanja informacija je i putem info telefona.</w:t>
      </w:r>
    </w:p>
    <w:p w14:paraId="5E1292E8" w14:textId="4E4340FE" w:rsidR="0085052B" w:rsidRPr="002E5315" w:rsidRDefault="00E56388" w:rsidP="00E56388">
      <w:pPr>
        <w:rPr>
          <w:szCs w:val="23"/>
        </w:rPr>
      </w:pPr>
      <w:r w:rsidRPr="002E5315">
        <w:rPr>
          <w:szCs w:val="23"/>
        </w:rPr>
        <w:t>Povjerenik je zaprimio u 2019. ukupno 300 pisanih upita, što je gotovo za trećinu (32,28%) manje upita u usporedbi s 2018. (443 upita</w:t>
      </w:r>
      <w:r w:rsidRPr="002E5315">
        <w:rPr>
          <w:i/>
          <w:iCs/>
          <w:szCs w:val="23"/>
        </w:rPr>
        <w:t>),</w:t>
      </w:r>
      <w:r w:rsidRPr="002E5315">
        <w:rPr>
          <w:i/>
          <w:iCs/>
          <w:color w:val="00B050"/>
          <w:szCs w:val="23"/>
        </w:rPr>
        <w:t xml:space="preserve"> </w:t>
      </w:r>
      <w:r w:rsidRPr="002E5315">
        <w:rPr>
          <w:bCs/>
          <w:iCs/>
          <w:szCs w:val="23"/>
        </w:rPr>
        <w:t xml:space="preserve">čime je nastavljen trend njihova smanjenja. (Tablica 16.1.) </w:t>
      </w:r>
      <w:r w:rsidR="00B72201" w:rsidRPr="00B72201">
        <w:rPr>
          <w:bCs/>
          <w:iCs/>
          <w:szCs w:val="23"/>
        </w:rPr>
        <w:t xml:space="preserve">Razlog tome zasigurno je sadržan i u činjenici veće informiranosti korisnika i tijela javne vlasti zbog kontinuiranog održavanja edukacija, donošenju i objavi smjernica i dodatnih uputa kod svakog uočavanja sustavnih problema u primjeni ZPPI-ja, dostupnosti svih publikacija na internetskoj stranici Povjerenika te dostupnosti aplikacije Tražilice odluka i mišljenja </w:t>
      </w:r>
      <w:r w:rsidRPr="002E5315">
        <w:rPr>
          <w:bCs/>
          <w:iCs/>
          <w:szCs w:val="23"/>
        </w:rPr>
        <w:t>-</w:t>
      </w:r>
      <w:r w:rsidR="00954DB8" w:rsidRPr="002E5315">
        <w:rPr>
          <w:bCs/>
          <w:iCs/>
          <w:szCs w:val="23"/>
        </w:rPr>
        <w:t xml:space="preserve"> </w:t>
      </w:r>
      <w:r w:rsidRPr="002E5315">
        <w:rPr>
          <w:bCs/>
          <w:iCs/>
          <w:szCs w:val="23"/>
        </w:rPr>
        <w:t>TOM</w:t>
      </w:r>
      <w:r w:rsidR="0085052B" w:rsidRPr="002E5315">
        <w:rPr>
          <w:szCs w:val="23"/>
        </w:rPr>
        <w:t>.</w:t>
      </w:r>
    </w:p>
    <w:p w14:paraId="099AACC5" w14:textId="3F83A5E3" w:rsidR="0085052B" w:rsidRPr="002E5315" w:rsidRDefault="0085052B" w:rsidP="00E56388">
      <w:pPr>
        <w:keepNext/>
        <w:spacing w:before="240"/>
        <w:rPr>
          <w:sz w:val="20"/>
          <w:szCs w:val="20"/>
        </w:rPr>
      </w:pPr>
      <w:r w:rsidRPr="002E5315">
        <w:rPr>
          <w:sz w:val="20"/>
          <w:szCs w:val="20"/>
        </w:rPr>
        <w:t xml:space="preserve">Tablica </w:t>
      </w:r>
      <w:r w:rsidR="00F21AED" w:rsidRPr="002E5315">
        <w:rPr>
          <w:sz w:val="20"/>
          <w:szCs w:val="20"/>
        </w:rPr>
        <w:t>16.1.</w:t>
      </w:r>
      <w:r w:rsidRPr="002E5315">
        <w:rPr>
          <w:sz w:val="20"/>
          <w:szCs w:val="20"/>
        </w:rPr>
        <w:t xml:space="preserve"> </w:t>
      </w:r>
      <w:r w:rsidR="00F21AED" w:rsidRPr="002E5315">
        <w:rPr>
          <w:sz w:val="20"/>
          <w:szCs w:val="20"/>
        </w:rPr>
        <w:t>B</w:t>
      </w:r>
      <w:r w:rsidRPr="002E5315">
        <w:rPr>
          <w:sz w:val="20"/>
          <w:szCs w:val="20"/>
        </w:rPr>
        <w:t xml:space="preserve">roj zaprimljenih upita u razdoblju 2013. </w:t>
      </w:r>
      <w:r w:rsidR="00365DBF" w:rsidRPr="002E5315">
        <w:rPr>
          <w:sz w:val="20"/>
          <w:szCs w:val="20"/>
        </w:rPr>
        <w:t>-</w:t>
      </w:r>
      <w:r w:rsidRPr="002E5315">
        <w:rPr>
          <w:sz w:val="20"/>
          <w:szCs w:val="20"/>
        </w:rPr>
        <w:t xml:space="preserve"> 2019.</w:t>
      </w:r>
    </w:p>
    <w:tbl>
      <w:tblPr>
        <w:tblStyle w:val="LightShading-Accent11"/>
        <w:tblW w:w="5000" w:type="pct"/>
        <w:tblLook w:val="04A0" w:firstRow="1" w:lastRow="0" w:firstColumn="1" w:lastColumn="0" w:noHBand="0" w:noVBand="1"/>
      </w:tblPr>
      <w:tblGrid>
        <w:gridCol w:w="3350"/>
        <w:gridCol w:w="3098"/>
        <w:gridCol w:w="2840"/>
      </w:tblGrid>
      <w:tr w:rsidR="0085052B" w:rsidRPr="002E5315" w14:paraId="479031E2" w14:textId="77777777" w:rsidTr="00F21A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0DE2B6EB" w14:textId="77777777" w:rsidR="0085052B" w:rsidRPr="002E5315" w:rsidRDefault="0085052B" w:rsidP="00F21AED">
            <w:pPr>
              <w:jc w:val="center"/>
              <w:rPr>
                <w:rFonts w:cs="Arial"/>
                <w:color w:val="auto"/>
                <w:sz w:val="20"/>
                <w:szCs w:val="20"/>
              </w:rPr>
            </w:pPr>
            <w:r w:rsidRPr="002E5315">
              <w:rPr>
                <w:rFonts w:cs="Arial"/>
                <w:color w:val="auto"/>
                <w:sz w:val="20"/>
                <w:szCs w:val="20"/>
              </w:rPr>
              <w:t>Godina</w:t>
            </w:r>
          </w:p>
        </w:tc>
        <w:tc>
          <w:tcPr>
            <w:tcW w:w="1668" w:type="pct"/>
            <w:noWrap/>
            <w:hideMark/>
          </w:tcPr>
          <w:p w14:paraId="4D90156F" w14:textId="77777777" w:rsidR="0085052B" w:rsidRPr="002E5315" w:rsidRDefault="0085052B" w:rsidP="00F21AE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Broj upita</w:t>
            </w:r>
          </w:p>
        </w:tc>
        <w:tc>
          <w:tcPr>
            <w:tcW w:w="1529" w:type="pct"/>
            <w:noWrap/>
            <w:hideMark/>
          </w:tcPr>
          <w:p w14:paraId="2B9328C7" w14:textId="632BA46B" w:rsidR="0085052B" w:rsidRPr="002E5315" w:rsidRDefault="0085052B" w:rsidP="00F21AE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 (%)*</w:t>
            </w:r>
          </w:p>
        </w:tc>
      </w:tr>
      <w:tr w:rsidR="0085052B" w:rsidRPr="002E5315" w14:paraId="106F6664" w14:textId="77777777" w:rsidTr="00F21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01D691E8" w14:textId="77777777" w:rsidR="0085052B" w:rsidRPr="002E5315" w:rsidRDefault="0085052B" w:rsidP="00F21AED">
            <w:pPr>
              <w:jc w:val="center"/>
              <w:rPr>
                <w:rFonts w:cs="Arial"/>
                <w:color w:val="auto"/>
                <w:sz w:val="20"/>
                <w:szCs w:val="20"/>
              </w:rPr>
            </w:pPr>
            <w:r w:rsidRPr="002E5315">
              <w:rPr>
                <w:rFonts w:cs="Arial"/>
                <w:color w:val="auto"/>
                <w:sz w:val="20"/>
                <w:szCs w:val="20"/>
              </w:rPr>
              <w:t>2013.</w:t>
            </w:r>
          </w:p>
        </w:tc>
        <w:tc>
          <w:tcPr>
            <w:tcW w:w="1668" w:type="pct"/>
            <w:noWrap/>
            <w:hideMark/>
          </w:tcPr>
          <w:p w14:paraId="1FA82CDA"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172</w:t>
            </w:r>
          </w:p>
        </w:tc>
        <w:tc>
          <w:tcPr>
            <w:tcW w:w="1529" w:type="pct"/>
            <w:noWrap/>
            <w:hideMark/>
          </w:tcPr>
          <w:p w14:paraId="11CD6A30" w14:textId="1C4F7BCF"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p>
        </w:tc>
      </w:tr>
      <w:tr w:rsidR="0085052B" w:rsidRPr="002E5315" w14:paraId="71899627" w14:textId="77777777" w:rsidTr="00F21AED">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1CB7D196" w14:textId="77777777" w:rsidR="0085052B" w:rsidRPr="002E5315" w:rsidRDefault="0085052B" w:rsidP="00F21AED">
            <w:pPr>
              <w:jc w:val="center"/>
              <w:rPr>
                <w:rFonts w:cs="Arial"/>
                <w:color w:val="auto"/>
                <w:sz w:val="20"/>
                <w:szCs w:val="20"/>
              </w:rPr>
            </w:pPr>
            <w:r w:rsidRPr="002E5315">
              <w:rPr>
                <w:rFonts w:cs="Arial"/>
                <w:color w:val="auto"/>
                <w:sz w:val="20"/>
                <w:szCs w:val="20"/>
              </w:rPr>
              <w:t>2014.</w:t>
            </w:r>
          </w:p>
        </w:tc>
        <w:tc>
          <w:tcPr>
            <w:tcW w:w="1668" w:type="pct"/>
            <w:noWrap/>
            <w:hideMark/>
          </w:tcPr>
          <w:p w14:paraId="52F0375D"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368</w:t>
            </w:r>
          </w:p>
        </w:tc>
        <w:tc>
          <w:tcPr>
            <w:tcW w:w="1529" w:type="pct"/>
            <w:noWrap/>
            <w:hideMark/>
          </w:tcPr>
          <w:p w14:paraId="6488DCC0"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113,95</w:t>
            </w:r>
          </w:p>
        </w:tc>
      </w:tr>
      <w:tr w:rsidR="0085052B" w:rsidRPr="002E5315" w14:paraId="24060EE5" w14:textId="77777777" w:rsidTr="00F21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46523F4B" w14:textId="77777777" w:rsidR="0085052B" w:rsidRPr="002E5315" w:rsidRDefault="0085052B" w:rsidP="00F21AED">
            <w:pPr>
              <w:jc w:val="center"/>
              <w:rPr>
                <w:rFonts w:cs="Arial"/>
                <w:color w:val="auto"/>
                <w:sz w:val="20"/>
                <w:szCs w:val="20"/>
              </w:rPr>
            </w:pPr>
            <w:r w:rsidRPr="002E5315">
              <w:rPr>
                <w:rFonts w:cs="Arial"/>
                <w:color w:val="auto"/>
                <w:sz w:val="20"/>
                <w:szCs w:val="20"/>
              </w:rPr>
              <w:t>2015.</w:t>
            </w:r>
          </w:p>
        </w:tc>
        <w:tc>
          <w:tcPr>
            <w:tcW w:w="1668" w:type="pct"/>
            <w:noWrap/>
            <w:hideMark/>
          </w:tcPr>
          <w:p w14:paraId="5C52F417"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417</w:t>
            </w:r>
          </w:p>
        </w:tc>
        <w:tc>
          <w:tcPr>
            <w:tcW w:w="1529" w:type="pct"/>
            <w:noWrap/>
            <w:hideMark/>
          </w:tcPr>
          <w:p w14:paraId="756AFA02"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13,32</w:t>
            </w:r>
          </w:p>
        </w:tc>
      </w:tr>
      <w:tr w:rsidR="0085052B" w:rsidRPr="002E5315" w14:paraId="1D5D983E" w14:textId="77777777" w:rsidTr="00F21AED">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17763DE3" w14:textId="77777777" w:rsidR="0085052B" w:rsidRPr="002E5315" w:rsidRDefault="0085052B" w:rsidP="00F21AED">
            <w:pPr>
              <w:jc w:val="center"/>
              <w:rPr>
                <w:rFonts w:cs="Arial"/>
                <w:color w:val="auto"/>
                <w:sz w:val="20"/>
                <w:szCs w:val="20"/>
              </w:rPr>
            </w:pPr>
            <w:r w:rsidRPr="002E5315">
              <w:rPr>
                <w:rFonts w:cs="Arial"/>
                <w:color w:val="auto"/>
                <w:sz w:val="20"/>
                <w:szCs w:val="20"/>
              </w:rPr>
              <w:t>2016.</w:t>
            </w:r>
          </w:p>
        </w:tc>
        <w:tc>
          <w:tcPr>
            <w:tcW w:w="1668" w:type="pct"/>
            <w:noWrap/>
            <w:hideMark/>
          </w:tcPr>
          <w:p w14:paraId="2E30E703"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492</w:t>
            </w:r>
          </w:p>
        </w:tc>
        <w:tc>
          <w:tcPr>
            <w:tcW w:w="1529" w:type="pct"/>
            <w:noWrap/>
            <w:hideMark/>
          </w:tcPr>
          <w:p w14:paraId="251B24C0"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17,99</w:t>
            </w:r>
          </w:p>
        </w:tc>
      </w:tr>
      <w:tr w:rsidR="0085052B" w:rsidRPr="002E5315" w14:paraId="40229C4B" w14:textId="77777777" w:rsidTr="00F21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2AA648BC" w14:textId="77777777" w:rsidR="0085052B" w:rsidRPr="002E5315" w:rsidRDefault="0085052B" w:rsidP="00F21AED">
            <w:pPr>
              <w:jc w:val="center"/>
              <w:rPr>
                <w:rFonts w:cs="Arial"/>
                <w:color w:val="auto"/>
                <w:sz w:val="20"/>
                <w:szCs w:val="20"/>
              </w:rPr>
            </w:pPr>
            <w:r w:rsidRPr="002E5315">
              <w:rPr>
                <w:rFonts w:cs="Arial"/>
                <w:color w:val="auto"/>
                <w:sz w:val="20"/>
                <w:szCs w:val="20"/>
              </w:rPr>
              <w:t>2017.</w:t>
            </w:r>
          </w:p>
        </w:tc>
        <w:tc>
          <w:tcPr>
            <w:tcW w:w="1668" w:type="pct"/>
            <w:noWrap/>
            <w:hideMark/>
          </w:tcPr>
          <w:p w14:paraId="48410F57"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413</w:t>
            </w:r>
          </w:p>
        </w:tc>
        <w:tc>
          <w:tcPr>
            <w:tcW w:w="1529" w:type="pct"/>
            <w:noWrap/>
            <w:hideMark/>
          </w:tcPr>
          <w:p w14:paraId="02F65B8B"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-16,06</w:t>
            </w:r>
          </w:p>
        </w:tc>
      </w:tr>
      <w:tr w:rsidR="0085052B" w:rsidRPr="002E5315" w14:paraId="2FFC769E" w14:textId="77777777" w:rsidTr="00F21AED">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0AD2B6F4" w14:textId="77777777" w:rsidR="0085052B" w:rsidRPr="002E5315" w:rsidRDefault="0085052B" w:rsidP="00F21AED">
            <w:pPr>
              <w:jc w:val="center"/>
              <w:rPr>
                <w:rFonts w:cs="Arial"/>
                <w:color w:val="auto"/>
                <w:sz w:val="20"/>
                <w:szCs w:val="20"/>
              </w:rPr>
            </w:pPr>
            <w:r w:rsidRPr="002E5315">
              <w:rPr>
                <w:rFonts w:cs="Arial"/>
                <w:color w:val="auto"/>
                <w:sz w:val="20"/>
                <w:szCs w:val="20"/>
              </w:rPr>
              <w:t>2018.</w:t>
            </w:r>
          </w:p>
        </w:tc>
        <w:tc>
          <w:tcPr>
            <w:tcW w:w="1668" w:type="pct"/>
            <w:noWrap/>
            <w:hideMark/>
          </w:tcPr>
          <w:p w14:paraId="50C1609E"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443</w:t>
            </w:r>
          </w:p>
        </w:tc>
        <w:tc>
          <w:tcPr>
            <w:tcW w:w="1529" w:type="pct"/>
            <w:noWrap/>
            <w:hideMark/>
          </w:tcPr>
          <w:p w14:paraId="25A46D29"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7,26</w:t>
            </w:r>
          </w:p>
        </w:tc>
      </w:tr>
      <w:tr w:rsidR="0085052B" w:rsidRPr="002E5315" w14:paraId="7264FA3C" w14:textId="77777777" w:rsidTr="00F21A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035F5223" w14:textId="77777777" w:rsidR="0085052B" w:rsidRPr="002E5315" w:rsidRDefault="0085052B" w:rsidP="00F21AED">
            <w:pPr>
              <w:jc w:val="center"/>
              <w:rPr>
                <w:rFonts w:cs="Arial"/>
                <w:color w:val="auto"/>
                <w:sz w:val="20"/>
                <w:szCs w:val="20"/>
              </w:rPr>
            </w:pPr>
            <w:r w:rsidRPr="002E5315">
              <w:rPr>
                <w:rFonts w:cs="Arial"/>
                <w:color w:val="auto"/>
                <w:sz w:val="20"/>
                <w:szCs w:val="20"/>
              </w:rPr>
              <w:t>2019.</w:t>
            </w:r>
          </w:p>
        </w:tc>
        <w:tc>
          <w:tcPr>
            <w:tcW w:w="1668" w:type="pct"/>
            <w:noWrap/>
            <w:hideMark/>
          </w:tcPr>
          <w:p w14:paraId="7ADEA7CF"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300</w:t>
            </w:r>
          </w:p>
        </w:tc>
        <w:tc>
          <w:tcPr>
            <w:tcW w:w="1529" w:type="pct"/>
            <w:noWrap/>
            <w:hideMark/>
          </w:tcPr>
          <w:p w14:paraId="4AD898A6"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-32,28</w:t>
            </w:r>
          </w:p>
        </w:tc>
      </w:tr>
      <w:tr w:rsidR="0085052B" w:rsidRPr="002E5315" w14:paraId="19B2918A" w14:textId="77777777" w:rsidTr="00F21AED">
        <w:trPr>
          <w:trHeight w:val="300"/>
        </w:trPr>
        <w:tc>
          <w:tcPr>
            <w:cnfStyle w:val="001000000000" w:firstRow="0" w:lastRow="0" w:firstColumn="1" w:lastColumn="0" w:oddVBand="0" w:evenVBand="0" w:oddHBand="0" w:evenHBand="0" w:firstRowFirstColumn="0" w:firstRowLastColumn="0" w:lastRowFirstColumn="0" w:lastRowLastColumn="0"/>
            <w:tcW w:w="1803" w:type="pct"/>
            <w:noWrap/>
            <w:hideMark/>
          </w:tcPr>
          <w:p w14:paraId="26E0B926" w14:textId="77777777" w:rsidR="0085052B" w:rsidRPr="002E5315" w:rsidRDefault="0085052B" w:rsidP="00F21AED">
            <w:pPr>
              <w:jc w:val="center"/>
              <w:rPr>
                <w:rFonts w:cs="Arial"/>
                <w:color w:val="auto"/>
                <w:sz w:val="20"/>
                <w:szCs w:val="20"/>
              </w:rPr>
            </w:pPr>
            <w:r w:rsidRPr="002E5315">
              <w:rPr>
                <w:rFonts w:cs="Arial"/>
                <w:color w:val="auto"/>
                <w:sz w:val="20"/>
                <w:szCs w:val="20"/>
              </w:rPr>
              <w:t>UKUPNO</w:t>
            </w:r>
          </w:p>
        </w:tc>
        <w:tc>
          <w:tcPr>
            <w:tcW w:w="1668" w:type="pct"/>
            <w:noWrap/>
            <w:hideMark/>
          </w:tcPr>
          <w:p w14:paraId="162BA945"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2E5315">
              <w:rPr>
                <w:rFonts w:cs="Arial"/>
                <w:b/>
                <w:bCs/>
                <w:color w:val="auto"/>
                <w:sz w:val="20"/>
                <w:szCs w:val="20"/>
              </w:rPr>
              <w:t>2.605</w:t>
            </w:r>
          </w:p>
        </w:tc>
        <w:tc>
          <w:tcPr>
            <w:tcW w:w="1529" w:type="pct"/>
            <w:noWrap/>
            <w:hideMark/>
          </w:tcPr>
          <w:p w14:paraId="240973F7" w14:textId="304D6CFF"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p>
        </w:tc>
      </w:tr>
    </w:tbl>
    <w:p w14:paraId="1FA87D48" w14:textId="65E9AA14" w:rsidR="0085052B" w:rsidRPr="002E5315" w:rsidRDefault="0085052B" w:rsidP="00F21AED">
      <w:pPr>
        <w:spacing w:after="240"/>
        <w:rPr>
          <w:sz w:val="20"/>
          <w:szCs w:val="20"/>
        </w:rPr>
      </w:pPr>
      <w:r w:rsidRPr="002E5315">
        <w:rPr>
          <w:sz w:val="20"/>
          <w:szCs w:val="20"/>
        </w:rPr>
        <w:t>* porast odnosno smanje broja upita u odnosu na prethodnu godinu</w:t>
      </w:r>
    </w:p>
    <w:p w14:paraId="7F5706C4" w14:textId="4C2B7BA5" w:rsidR="00E56388" w:rsidRPr="002E5315" w:rsidRDefault="00E56388" w:rsidP="00E56388">
      <w:pPr>
        <w:rPr>
          <w:szCs w:val="23"/>
        </w:rPr>
      </w:pPr>
      <w:r w:rsidRPr="002E5315">
        <w:rPr>
          <w:szCs w:val="23"/>
        </w:rPr>
        <w:t xml:space="preserve">S prenesenim neodgovorenim upitima iz 2018. (38 upita), bilo je </w:t>
      </w:r>
      <w:r w:rsidRPr="002E5315">
        <w:rPr>
          <w:b/>
          <w:szCs w:val="23"/>
        </w:rPr>
        <w:t>na rješavanju u izvještajnom razdoblju ukupno 338 upita, a do kraja godine odgovoreno je na 323 ili 95,56%</w:t>
      </w:r>
      <w:r w:rsidRPr="002E5315">
        <w:rPr>
          <w:szCs w:val="23"/>
        </w:rPr>
        <w:t xml:space="preserve"> (od čega 295 upita ili 98,33% podnesenih 2019.).</w:t>
      </w:r>
    </w:p>
    <w:p w14:paraId="5EA58FD2" w14:textId="498B602E" w:rsidR="0085052B" w:rsidRPr="002E5315" w:rsidRDefault="00E56388" w:rsidP="00E56388">
      <w:pPr>
        <w:rPr>
          <w:sz w:val="22"/>
          <w:szCs w:val="22"/>
        </w:rPr>
      </w:pPr>
      <w:r w:rsidRPr="002E5315">
        <w:rPr>
          <w:szCs w:val="23"/>
        </w:rPr>
        <w:t>Iz analize upita zaprimljenih u 2019. po podnositeljima, vidljivo je da se Uredu povjerenika češće obraćaju tijela (158 upita)</w:t>
      </w:r>
      <w:r w:rsidR="00954DB8" w:rsidRPr="002E5315">
        <w:rPr>
          <w:szCs w:val="23"/>
        </w:rPr>
        <w:t xml:space="preserve"> </w:t>
      </w:r>
      <w:r w:rsidRPr="002E5315">
        <w:rPr>
          <w:szCs w:val="23"/>
        </w:rPr>
        <w:t>nego korisnici prava na pristup informacijama (142 upita)</w:t>
      </w:r>
      <w:r w:rsidRPr="002E5315">
        <w:rPr>
          <w:sz w:val="22"/>
          <w:szCs w:val="22"/>
        </w:rPr>
        <w:t xml:space="preserve"> </w:t>
      </w:r>
      <w:r w:rsidR="00F21AED" w:rsidRPr="002E5315">
        <w:rPr>
          <w:sz w:val="22"/>
          <w:szCs w:val="22"/>
        </w:rPr>
        <w:t>(</w:t>
      </w:r>
      <w:r w:rsidR="0085052B" w:rsidRPr="002E5315">
        <w:rPr>
          <w:sz w:val="22"/>
          <w:szCs w:val="22"/>
        </w:rPr>
        <w:t>Tablica</w:t>
      </w:r>
      <w:r w:rsidR="00F21AED" w:rsidRPr="002E5315">
        <w:rPr>
          <w:sz w:val="22"/>
          <w:szCs w:val="22"/>
        </w:rPr>
        <w:t xml:space="preserve"> 16.2.)</w:t>
      </w:r>
    </w:p>
    <w:p w14:paraId="108B638D" w14:textId="1732D830" w:rsidR="0085052B" w:rsidRPr="002E5315" w:rsidRDefault="0085052B" w:rsidP="00F21AED">
      <w:pPr>
        <w:keepNext/>
        <w:spacing w:before="240"/>
        <w:rPr>
          <w:sz w:val="20"/>
          <w:szCs w:val="20"/>
        </w:rPr>
      </w:pPr>
      <w:r w:rsidRPr="002E5315">
        <w:rPr>
          <w:sz w:val="20"/>
          <w:szCs w:val="20"/>
        </w:rPr>
        <w:t>Tablica</w:t>
      </w:r>
      <w:r w:rsidR="00F21AED" w:rsidRPr="002E5315">
        <w:rPr>
          <w:sz w:val="20"/>
          <w:szCs w:val="20"/>
        </w:rPr>
        <w:t xml:space="preserve"> 16.2.</w:t>
      </w:r>
      <w:r w:rsidRPr="002E5315">
        <w:rPr>
          <w:sz w:val="20"/>
          <w:szCs w:val="20"/>
        </w:rPr>
        <w:t xml:space="preserve"> </w:t>
      </w:r>
      <w:r w:rsidR="00F21AED" w:rsidRPr="002E5315">
        <w:rPr>
          <w:sz w:val="20"/>
          <w:szCs w:val="20"/>
        </w:rPr>
        <w:t>S</w:t>
      </w:r>
      <w:r w:rsidRPr="002E5315">
        <w:rPr>
          <w:sz w:val="20"/>
          <w:szCs w:val="20"/>
        </w:rPr>
        <w:t>truktura upita prema podnositeljima</w:t>
      </w:r>
    </w:p>
    <w:tbl>
      <w:tblPr>
        <w:tblStyle w:val="LightShading-Accent11"/>
        <w:tblW w:w="5000" w:type="pct"/>
        <w:tblLook w:val="04A0" w:firstRow="1" w:lastRow="0" w:firstColumn="1" w:lastColumn="0" w:noHBand="0" w:noVBand="1"/>
      </w:tblPr>
      <w:tblGrid>
        <w:gridCol w:w="6570"/>
        <w:gridCol w:w="1468"/>
        <w:gridCol w:w="1250"/>
      </w:tblGrid>
      <w:tr w:rsidR="00F21AED" w:rsidRPr="002E5315" w14:paraId="7A8D9573" w14:textId="77777777" w:rsidTr="00E82047">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4E76E027" w14:textId="77777777" w:rsidR="0085052B" w:rsidRPr="002E5315" w:rsidRDefault="0085052B" w:rsidP="0085052B">
            <w:pPr>
              <w:jc w:val="center"/>
              <w:rPr>
                <w:rFonts w:cs="Arial"/>
                <w:color w:val="auto"/>
                <w:sz w:val="20"/>
                <w:szCs w:val="20"/>
              </w:rPr>
            </w:pPr>
            <w:r w:rsidRPr="002E5315">
              <w:rPr>
                <w:rFonts w:cs="Arial"/>
                <w:color w:val="auto"/>
                <w:sz w:val="20"/>
                <w:szCs w:val="20"/>
              </w:rPr>
              <w:t>Podnositelj</w:t>
            </w:r>
          </w:p>
        </w:tc>
        <w:tc>
          <w:tcPr>
            <w:tcW w:w="790" w:type="pct"/>
            <w:noWrap/>
            <w:vAlign w:val="center"/>
            <w:hideMark/>
          </w:tcPr>
          <w:p w14:paraId="41822065"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Broj upita</w:t>
            </w:r>
          </w:p>
        </w:tc>
        <w:tc>
          <w:tcPr>
            <w:tcW w:w="673" w:type="pct"/>
            <w:noWrap/>
            <w:vAlign w:val="center"/>
            <w:hideMark/>
          </w:tcPr>
          <w:p w14:paraId="38218F92"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w:t>
            </w:r>
          </w:p>
        </w:tc>
      </w:tr>
      <w:tr w:rsidR="00F21AED" w:rsidRPr="002E5315" w14:paraId="02C2881A" w14:textId="77777777" w:rsidTr="00E8204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24AB4C93" w14:textId="77777777" w:rsidR="0085052B" w:rsidRPr="002E5315" w:rsidRDefault="0085052B" w:rsidP="0085052B">
            <w:pPr>
              <w:rPr>
                <w:rFonts w:cs="Arial"/>
                <w:color w:val="auto"/>
                <w:sz w:val="20"/>
                <w:szCs w:val="20"/>
              </w:rPr>
            </w:pPr>
            <w:r w:rsidRPr="002E5315">
              <w:rPr>
                <w:rFonts w:cs="Arial"/>
                <w:color w:val="auto"/>
                <w:sz w:val="20"/>
                <w:szCs w:val="20"/>
              </w:rPr>
              <w:t>Tijela javne vlasti</w:t>
            </w:r>
          </w:p>
        </w:tc>
        <w:tc>
          <w:tcPr>
            <w:tcW w:w="790" w:type="pct"/>
            <w:noWrap/>
            <w:vAlign w:val="center"/>
            <w:hideMark/>
          </w:tcPr>
          <w:p w14:paraId="5AA5572D"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158</w:t>
            </w:r>
          </w:p>
        </w:tc>
        <w:tc>
          <w:tcPr>
            <w:tcW w:w="673" w:type="pct"/>
            <w:noWrap/>
            <w:vAlign w:val="center"/>
            <w:hideMark/>
          </w:tcPr>
          <w:p w14:paraId="140E46E5"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52,67</w:t>
            </w:r>
          </w:p>
        </w:tc>
      </w:tr>
      <w:tr w:rsidR="00F21AED" w:rsidRPr="002E5315" w14:paraId="3B39CD22" w14:textId="77777777" w:rsidTr="00E82047">
        <w:trPr>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7BEBF6CD" w14:textId="77777777" w:rsidR="0085052B" w:rsidRPr="002E5315" w:rsidRDefault="0085052B" w:rsidP="0085052B">
            <w:pPr>
              <w:rPr>
                <w:rFonts w:cs="Arial"/>
                <w:color w:val="auto"/>
                <w:sz w:val="20"/>
                <w:szCs w:val="20"/>
              </w:rPr>
            </w:pPr>
            <w:r w:rsidRPr="002E5315">
              <w:rPr>
                <w:rFonts w:cs="Arial"/>
                <w:color w:val="auto"/>
                <w:sz w:val="20"/>
                <w:szCs w:val="20"/>
              </w:rPr>
              <w:t>Građani - fizičke osobe</w:t>
            </w:r>
          </w:p>
        </w:tc>
        <w:tc>
          <w:tcPr>
            <w:tcW w:w="790" w:type="pct"/>
            <w:noWrap/>
            <w:vAlign w:val="center"/>
            <w:hideMark/>
          </w:tcPr>
          <w:p w14:paraId="266820DF"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99</w:t>
            </w:r>
          </w:p>
        </w:tc>
        <w:tc>
          <w:tcPr>
            <w:tcW w:w="673" w:type="pct"/>
            <w:noWrap/>
            <w:vAlign w:val="center"/>
            <w:hideMark/>
          </w:tcPr>
          <w:p w14:paraId="03C1C1F0"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33,00</w:t>
            </w:r>
          </w:p>
        </w:tc>
      </w:tr>
      <w:tr w:rsidR="00F21AED" w:rsidRPr="002E5315" w14:paraId="57F3206C" w14:textId="77777777" w:rsidTr="00E8204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337F6CFD" w14:textId="77777777" w:rsidR="0085052B" w:rsidRPr="002E5315" w:rsidRDefault="0085052B" w:rsidP="0085052B">
            <w:pPr>
              <w:rPr>
                <w:rFonts w:cs="Arial"/>
                <w:color w:val="auto"/>
                <w:sz w:val="20"/>
                <w:szCs w:val="20"/>
              </w:rPr>
            </w:pPr>
            <w:r w:rsidRPr="002E5315">
              <w:rPr>
                <w:rFonts w:cs="Arial"/>
                <w:color w:val="auto"/>
                <w:sz w:val="20"/>
                <w:szCs w:val="20"/>
              </w:rPr>
              <w:t>Mediji</w:t>
            </w:r>
          </w:p>
        </w:tc>
        <w:tc>
          <w:tcPr>
            <w:tcW w:w="790" w:type="pct"/>
            <w:noWrap/>
            <w:vAlign w:val="center"/>
            <w:hideMark/>
          </w:tcPr>
          <w:p w14:paraId="3A85055F"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17</w:t>
            </w:r>
          </w:p>
        </w:tc>
        <w:tc>
          <w:tcPr>
            <w:tcW w:w="673" w:type="pct"/>
            <w:noWrap/>
            <w:vAlign w:val="center"/>
            <w:hideMark/>
          </w:tcPr>
          <w:p w14:paraId="1C2BD0BA"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5,67</w:t>
            </w:r>
          </w:p>
        </w:tc>
      </w:tr>
      <w:tr w:rsidR="00F21AED" w:rsidRPr="002E5315" w14:paraId="60704D94" w14:textId="77777777" w:rsidTr="00E82047">
        <w:trPr>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252FB98F" w14:textId="77777777" w:rsidR="0085052B" w:rsidRPr="002E5315" w:rsidRDefault="0085052B" w:rsidP="0085052B">
            <w:pPr>
              <w:rPr>
                <w:rFonts w:cs="Arial"/>
                <w:color w:val="auto"/>
                <w:sz w:val="20"/>
                <w:szCs w:val="20"/>
              </w:rPr>
            </w:pPr>
            <w:r w:rsidRPr="002E5315">
              <w:rPr>
                <w:rFonts w:cs="Arial"/>
                <w:color w:val="auto"/>
                <w:sz w:val="20"/>
                <w:szCs w:val="20"/>
              </w:rPr>
              <w:t>Udruge</w:t>
            </w:r>
          </w:p>
        </w:tc>
        <w:tc>
          <w:tcPr>
            <w:tcW w:w="790" w:type="pct"/>
            <w:noWrap/>
            <w:vAlign w:val="center"/>
            <w:hideMark/>
          </w:tcPr>
          <w:p w14:paraId="32EE7320"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11</w:t>
            </w:r>
          </w:p>
        </w:tc>
        <w:tc>
          <w:tcPr>
            <w:tcW w:w="673" w:type="pct"/>
            <w:noWrap/>
            <w:vAlign w:val="center"/>
            <w:hideMark/>
          </w:tcPr>
          <w:p w14:paraId="00C353BE"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3,67</w:t>
            </w:r>
          </w:p>
        </w:tc>
      </w:tr>
      <w:tr w:rsidR="00F21AED" w:rsidRPr="002E5315" w14:paraId="1A13CD52" w14:textId="77777777" w:rsidTr="00E8204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4F5D1164" w14:textId="77777777" w:rsidR="0085052B" w:rsidRPr="002E5315" w:rsidRDefault="0085052B" w:rsidP="0085052B">
            <w:pPr>
              <w:rPr>
                <w:rFonts w:cs="Arial"/>
                <w:color w:val="auto"/>
                <w:sz w:val="20"/>
                <w:szCs w:val="20"/>
              </w:rPr>
            </w:pPr>
            <w:r w:rsidRPr="002E5315">
              <w:rPr>
                <w:rFonts w:cs="Arial"/>
                <w:color w:val="auto"/>
                <w:sz w:val="20"/>
                <w:szCs w:val="20"/>
              </w:rPr>
              <w:t>Trgovačka društva</w:t>
            </w:r>
          </w:p>
        </w:tc>
        <w:tc>
          <w:tcPr>
            <w:tcW w:w="790" w:type="pct"/>
            <w:noWrap/>
            <w:vAlign w:val="center"/>
            <w:hideMark/>
          </w:tcPr>
          <w:p w14:paraId="4070FA7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w:t>
            </w:r>
          </w:p>
        </w:tc>
        <w:tc>
          <w:tcPr>
            <w:tcW w:w="673" w:type="pct"/>
            <w:noWrap/>
            <w:vAlign w:val="center"/>
            <w:hideMark/>
          </w:tcPr>
          <w:p w14:paraId="4945E94B"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1,33</w:t>
            </w:r>
          </w:p>
        </w:tc>
      </w:tr>
      <w:tr w:rsidR="00F21AED" w:rsidRPr="002E5315" w14:paraId="6D5F3586" w14:textId="77777777" w:rsidTr="00E82047">
        <w:trPr>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04B88BEC" w14:textId="77777777" w:rsidR="0085052B" w:rsidRPr="002E5315" w:rsidRDefault="0085052B" w:rsidP="0085052B">
            <w:pPr>
              <w:rPr>
                <w:rFonts w:cs="Arial"/>
                <w:color w:val="auto"/>
                <w:sz w:val="20"/>
                <w:szCs w:val="20"/>
              </w:rPr>
            </w:pPr>
            <w:r w:rsidRPr="002E5315">
              <w:rPr>
                <w:rFonts w:cs="Arial"/>
                <w:color w:val="auto"/>
                <w:sz w:val="20"/>
                <w:szCs w:val="20"/>
              </w:rPr>
              <w:t>Sindikati</w:t>
            </w:r>
          </w:p>
        </w:tc>
        <w:tc>
          <w:tcPr>
            <w:tcW w:w="790" w:type="pct"/>
            <w:noWrap/>
            <w:vAlign w:val="center"/>
            <w:hideMark/>
          </w:tcPr>
          <w:p w14:paraId="36DC9B00"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w:t>
            </w:r>
          </w:p>
        </w:tc>
        <w:tc>
          <w:tcPr>
            <w:tcW w:w="673" w:type="pct"/>
            <w:noWrap/>
            <w:vAlign w:val="center"/>
            <w:hideMark/>
          </w:tcPr>
          <w:p w14:paraId="483326AA"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0,33</w:t>
            </w:r>
          </w:p>
        </w:tc>
      </w:tr>
      <w:tr w:rsidR="00F21AED" w:rsidRPr="002E5315" w14:paraId="6C45F3A1" w14:textId="77777777" w:rsidTr="00E8204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789559DA" w14:textId="77777777" w:rsidR="0085052B" w:rsidRPr="002E5315" w:rsidRDefault="0085052B" w:rsidP="0085052B">
            <w:pPr>
              <w:rPr>
                <w:rFonts w:cs="Arial"/>
                <w:color w:val="auto"/>
                <w:sz w:val="20"/>
                <w:szCs w:val="20"/>
              </w:rPr>
            </w:pPr>
            <w:r w:rsidRPr="002E5315">
              <w:rPr>
                <w:rFonts w:cs="Arial"/>
                <w:color w:val="auto"/>
                <w:sz w:val="20"/>
                <w:szCs w:val="20"/>
              </w:rPr>
              <w:t xml:space="preserve">Političke stranke i predstavnici </w:t>
            </w:r>
          </w:p>
        </w:tc>
        <w:tc>
          <w:tcPr>
            <w:tcW w:w="790" w:type="pct"/>
            <w:noWrap/>
            <w:vAlign w:val="center"/>
            <w:hideMark/>
          </w:tcPr>
          <w:p w14:paraId="14A4E9EC"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7</w:t>
            </w:r>
          </w:p>
        </w:tc>
        <w:tc>
          <w:tcPr>
            <w:tcW w:w="673" w:type="pct"/>
            <w:noWrap/>
            <w:vAlign w:val="center"/>
            <w:hideMark/>
          </w:tcPr>
          <w:p w14:paraId="15AEC19A"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2,33</w:t>
            </w:r>
          </w:p>
        </w:tc>
      </w:tr>
      <w:tr w:rsidR="00F21AED" w:rsidRPr="002E5315" w14:paraId="379C70AB" w14:textId="77777777" w:rsidTr="00E82047">
        <w:trPr>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52A05AA7" w14:textId="77777777" w:rsidR="0085052B" w:rsidRPr="002E5315" w:rsidRDefault="0085052B" w:rsidP="0085052B">
            <w:pPr>
              <w:rPr>
                <w:rFonts w:cs="Arial"/>
                <w:color w:val="auto"/>
                <w:sz w:val="20"/>
                <w:szCs w:val="20"/>
              </w:rPr>
            </w:pPr>
            <w:r w:rsidRPr="002E5315">
              <w:rPr>
                <w:rFonts w:cs="Arial"/>
                <w:color w:val="auto"/>
                <w:sz w:val="20"/>
                <w:szCs w:val="20"/>
              </w:rPr>
              <w:t>Ostalo</w:t>
            </w:r>
          </w:p>
        </w:tc>
        <w:tc>
          <w:tcPr>
            <w:tcW w:w="790" w:type="pct"/>
            <w:noWrap/>
            <w:vAlign w:val="center"/>
            <w:hideMark/>
          </w:tcPr>
          <w:p w14:paraId="6CC2998C" w14:textId="77777777" w:rsidR="0085052B" w:rsidRPr="002E5315" w:rsidRDefault="0085052B" w:rsidP="0085052B">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3</w:t>
            </w:r>
          </w:p>
        </w:tc>
        <w:tc>
          <w:tcPr>
            <w:tcW w:w="673" w:type="pct"/>
            <w:noWrap/>
            <w:vAlign w:val="center"/>
            <w:hideMark/>
          </w:tcPr>
          <w:p w14:paraId="00898ABF" w14:textId="77777777" w:rsidR="0085052B" w:rsidRPr="002E5315" w:rsidRDefault="0085052B" w:rsidP="00F21AE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1,00</w:t>
            </w:r>
          </w:p>
        </w:tc>
      </w:tr>
      <w:tr w:rsidR="00F21AED" w:rsidRPr="002E5315" w14:paraId="311ACEBC" w14:textId="77777777" w:rsidTr="00E8204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537" w:type="pct"/>
            <w:noWrap/>
            <w:vAlign w:val="center"/>
            <w:hideMark/>
          </w:tcPr>
          <w:p w14:paraId="079B1B34" w14:textId="77777777" w:rsidR="0085052B" w:rsidRPr="002E5315" w:rsidRDefault="0085052B" w:rsidP="0085052B">
            <w:pPr>
              <w:rPr>
                <w:rFonts w:cs="Arial"/>
                <w:color w:val="auto"/>
                <w:sz w:val="20"/>
                <w:szCs w:val="20"/>
              </w:rPr>
            </w:pPr>
            <w:r w:rsidRPr="002E5315">
              <w:rPr>
                <w:rFonts w:cs="Arial"/>
                <w:color w:val="auto"/>
                <w:sz w:val="20"/>
                <w:szCs w:val="20"/>
              </w:rPr>
              <w:t>UKUPNO</w:t>
            </w:r>
          </w:p>
        </w:tc>
        <w:tc>
          <w:tcPr>
            <w:tcW w:w="790" w:type="pct"/>
            <w:noWrap/>
            <w:vAlign w:val="center"/>
            <w:hideMark/>
          </w:tcPr>
          <w:p w14:paraId="646F58FA" w14:textId="77777777" w:rsidR="0085052B" w:rsidRPr="002E5315" w:rsidRDefault="0085052B" w:rsidP="0085052B">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300</w:t>
            </w:r>
          </w:p>
        </w:tc>
        <w:tc>
          <w:tcPr>
            <w:tcW w:w="673" w:type="pct"/>
            <w:noWrap/>
            <w:vAlign w:val="center"/>
            <w:hideMark/>
          </w:tcPr>
          <w:p w14:paraId="1EB56CC7" w14:textId="77777777" w:rsidR="0085052B" w:rsidRPr="002E5315" w:rsidRDefault="0085052B" w:rsidP="00F21AED">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100,00</w:t>
            </w:r>
          </w:p>
        </w:tc>
      </w:tr>
    </w:tbl>
    <w:p w14:paraId="5F061FAD" w14:textId="33DBEAD7" w:rsidR="0085052B" w:rsidRPr="002E5315" w:rsidRDefault="00E56388" w:rsidP="00E82047">
      <w:pPr>
        <w:spacing w:before="240"/>
        <w:rPr>
          <w:sz w:val="22"/>
          <w:szCs w:val="22"/>
        </w:rPr>
      </w:pPr>
      <w:r w:rsidRPr="002E5315">
        <w:rPr>
          <w:szCs w:val="23"/>
        </w:rPr>
        <w:t>Prema sadržaju upita, vidljivo je da su se upiti tijela javne vlasti u najvećoj mjeri odnosili na način postupanja sa zahtjevom za pristup informacijama, obvezu provedbe savjetovanja s javnošću</w:t>
      </w:r>
      <w:r w:rsidR="00954DB8" w:rsidRPr="002E5315">
        <w:rPr>
          <w:szCs w:val="23"/>
        </w:rPr>
        <w:t xml:space="preserve"> </w:t>
      </w:r>
      <w:r w:rsidRPr="002E5315">
        <w:rPr>
          <w:szCs w:val="23"/>
        </w:rPr>
        <w:t xml:space="preserve">i ispunjavanje obveze proaktivne objave informacija </w:t>
      </w:r>
      <w:r w:rsidR="00E82047" w:rsidRPr="002E5315">
        <w:rPr>
          <w:sz w:val="22"/>
          <w:szCs w:val="22"/>
        </w:rPr>
        <w:t>(Tablica 16.3.)</w:t>
      </w:r>
    </w:p>
    <w:p w14:paraId="08FA0E1C" w14:textId="6EE96B88" w:rsidR="0085052B" w:rsidRPr="002E5315" w:rsidRDefault="00E82047" w:rsidP="00E82047">
      <w:pPr>
        <w:keepNext/>
        <w:spacing w:before="240"/>
        <w:rPr>
          <w:sz w:val="20"/>
          <w:szCs w:val="20"/>
        </w:rPr>
      </w:pPr>
      <w:r w:rsidRPr="002E5315">
        <w:rPr>
          <w:sz w:val="20"/>
          <w:szCs w:val="20"/>
        </w:rPr>
        <w:t>Tablica 16.3. Struktura upita tijela javne vlasti prema sadržaju</w:t>
      </w:r>
    </w:p>
    <w:tbl>
      <w:tblPr>
        <w:tblStyle w:val="LightShading-Accent11"/>
        <w:tblW w:w="5000" w:type="pct"/>
        <w:jc w:val="center"/>
        <w:tblLook w:val="04A0" w:firstRow="1" w:lastRow="0" w:firstColumn="1" w:lastColumn="0" w:noHBand="0" w:noVBand="1"/>
      </w:tblPr>
      <w:tblGrid>
        <w:gridCol w:w="6550"/>
        <w:gridCol w:w="1488"/>
        <w:gridCol w:w="1250"/>
      </w:tblGrid>
      <w:tr w:rsidR="00E82047" w:rsidRPr="002E5315" w14:paraId="236DAA28" w14:textId="77777777" w:rsidTr="00E82047">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7BFC0EFA" w14:textId="77777777" w:rsidR="0085052B" w:rsidRPr="002E5315" w:rsidRDefault="0085052B" w:rsidP="0085052B">
            <w:pPr>
              <w:jc w:val="center"/>
              <w:rPr>
                <w:rFonts w:cs="Arial"/>
                <w:color w:val="auto"/>
                <w:sz w:val="20"/>
                <w:szCs w:val="20"/>
              </w:rPr>
            </w:pPr>
            <w:r w:rsidRPr="002E5315">
              <w:rPr>
                <w:rFonts w:cs="Arial"/>
                <w:color w:val="auto"/>
                <w:sz w:val="20"/>
                <w:szCs w:val="20"/>
              </w:rPr>
              <w:t>Struktura upita - TJV</w:t>
            </w:r>
          </w:p>
        </w:tc>
        <w:tc>
          <w:tcPr>
            <w:tcW w:w="801" w:type="pct"/>
            <w:noWrap/>
            <w:hideMark/>
          </w:tcPr>
          <w:p w14:paraId="0FD77F9D"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n</w:t>
            </w:r>
          </w:p>
        </w:tc>
        <w:tc>
          <w:tcPr>
            <w:tcW w:w="674" w:type="pct"/>
            <w:noWrap/>
            <w:hideMark/>
          </w:tcPr>
          <w:p w14:paraId="59476800"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w:t>
            </w:r>
          </w:p>
        </w:tc>
      </w:tr>
      <w:tr w:rsidR="00E82047" w:rsidRPr="002E5315" w14:paraId="5710522F" w14:textId="77777777" w:rsidTr="00E8204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4125986C" w14:textId="77777777" w:rsidR="0085052B" w:rsidRPr="002E5315" w:rsidRDefault="0085052B" w:rsidP="0085052B">
            <w:pPr>
              <w:rPr>
                <w:rFonts w:cs="Arial"/>
                <w:color w:val="auto"/>
                <w:sz w:val="20"/>
                <w:szCs w:val="20"/>
              </w:rPr>
            </w:pPr>
            <w:r w:rsidRPr="002E5315">
              <w:rPr>
                <w:rFonts w:cs="Arial"/>
                <w:color w:val="auto"/>
                <w:sz w:val="20"/>
                <w:szCs w:val="20"/>
              </w:rPr>
              <w:t>rješavanje zahtjeva</w:t>
            </w:r>
          </w:p>
        </w:tc>
        <w:tc>
          <w:tcPr>
            <w:tcW w:w="801" w:type="pct"/>
            <w:noWrap/>
            <w:hideMark/>
          </w:tcPr>
          <w:p w14:paraId="5A55438B"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88</w:t>
            </w:r>
          </w:p>
        </w:tc>
        <w:tc>
          <w:tcPr>
            <w:tcW w:w="674" w:type="pct"/>
            <w:noWrap/>
            <w:hideMark/>
          </w:tcPr>
          <w:p w14:paraId="140D234F"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55,70</w:t>
            </w:r>
          </w:p>
        </w:tc>
      </w:tr>
      <w:tr w:rsidR="00E82047" w:rsidRPr="002E5315" w14:paraId="13919847" w14:textId="77777777" w:rsidTr="00E82047">
        <w:trPr>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282DAFAA" w14:textId="77777777" w:rsidR="0085052B" w:rsidRPr="002E5315" w:rsidRDefault="0085052B" w:rsidP="0085052B">
            <w:pPr>
              <w:rPr>
                <w:rFonts w:cs="Arial"/>
                <w:color w:val="auto"/>
                <w:sz w:val="20"/>
                <w:szCs w:val="20"/>
              </w:rPr>
            </w:pPr>
            <w:r w:rsidRPr="002E5315">
              <w:rPr>
                <w:rFonts w:cs="Arial"/>
                <w:color w:val="auto"/>
                <w:sz w:val="20"/>
                <w:szCs w:val="20"/>
              </w:rPr>
              <w:t xml:space="preserve">provedba savjetovanja </w:t>
            </w:r>
          </w:p>
        </w:tc>
        <w:tc>
          <w:tcPr>
            <w:tcW w:w="801" w:type="pct"/>
            <w:noWrap/>
            <w:hideMark/>
          </w:tcPr>
          <w:p w14:paraId="7BB8D762"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23</w:t>
            </w:r>
          </w:p>
        </w:tc>
        <w:tc>
          <w:tcPr>
            <w:tcW w:w="674" w:type="pct"/>
            <w:noWrap/>
            <w:hideMark/>
          </w:tcPr>
          <w:p w14:paraId="7D2BC781"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14,56</w:t>
            </w:r>
          </w:p>
        </w:tc>
      </w:tr>
      <w:tr w:rsidR="00E82047" w:rsidRPr="002E5315" w14:paraId="2633A568" w14:textId="77777777" w:rsidTr="00E8204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538B8B5F" w14:textId="77777777" w:rsidR="0085052B" w:rsidRPr="002E5315" w:rsidRDefault="0085052B" w:rsidP="0085052B">
            <w:pPr>
              <w:rPr>
                <w:rFonts w:cs="Arial"/>
                <w:color w:val="auto"/>
                <w:sz w:val="20"/>
                <w:szCs w:val="20"/>
              </w:rPr>
            </w:pPr>
            <w:r w:rsidRPr="002E5315">
              <w:rPr>
                <w:rFonts w:cs="Arial"/>
                <w:color w:val="auto"/>
                <w:sz w:val="20"/>
                <w:szCs w:val="20"/>
              </w:rPr>
              <w:t>proaktivna objava</w:t>
            </w:r>
          </w:p>
        </w:tc>
        <w:tc>
          <w:tcPr>
            <w:tcW w:w="801" w:type="pct"/>
            <w:noWrap/>
            <w:hideMark/>
          </w:tcPr>
          <w:p w14:paraId="2B6EA277"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11</w:t>
            </w:r>
          </w:p>
        </w:tc>
        <w:tc>
          <w:tcPr>
            <w:tcW w:w="674" w:type="pct"/>
            <w:noWrap/>
            <w:hideMark/>
          </w:tcPr>
          <w:p w14:paraId="4E5B78BC"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6,96</w:t>
            </w:r>
          </w:p>
        </w:tc>
      </w:tr>
      <w:tr w:rsidR="00E82047" w:rsidRPr="002E5315" w14:paraId="35EA1911" w14:textId="77777777" w:rsidTr="00E82047">
        <w:trPr>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265D49D8" w14:textId="77777777" w:rsidR="0085052B" w:rsidRPr="002E5315" w:rsidRDefault="0085052B" w:rsidP="0085052B">
            <w:pPr>
              <w:rPr>
                <w:rFonts w:cs="Arial"/>
                <w:color w:val="auto"/>
                <w:sz w:val="20"/>
                <w:szCs w:val="20"/>
              </w:rPr>
            </w:pPr>
            <w:r w:rsidRPr="002E5315">
              <w:rPr>
                <w:rFonts w:cs="Arial"/>
                <w:color w:val="auto"/>
                <w:sz w:val="20"/>
                <w:szCs w:val="20"/>
              </w:rPr>
              <w:t>status TJV</w:t>
            </w:r>
          </w:p>
        </w:tc>
        <w:tc>
          <w:tcPr>
            <w:tcW w:w="801" w:type="pct"/>
            <w:noWrap/>
            <w:hideMark/>
          </w:tcPr>
          <w:p w14:paraId="63E6ACBF"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7</w:t>
            </w:r>
          </w:p>
        </w:tc>
        <w:tc>
          <w:tcPr>
            <w:tcW w:w="674" w:type="pct"/>
            <w:noWrap/>
            <w:hideMark/>
          </w:tcPr>
          <w:p w14:paraId="237E0DF4"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4,43</w:t>
            </w:r>
          </w:p>
        </w:tc>
      </w:tr>
      <w:tr w:rsidR="00E82047" w:rsidRPr="002E5315" w14:paraId="74529290" w14:textId="77777777" w:rsidTr="00E8204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70D06954" w14:textId="77777777" w:rsidR="0085052B" w:rsidRPr="002E5315" w:rsidRDefault="0085052B" w:rsidP="0085052B">
            <w:pPr>
              <w:rPr>
                <w:rFonts w:cs="Arial"/>
                <w:color w:val="auto"/>
                <w:sz w:val="20"/>
                <w:szCs w:val="20"/>
              </w:rPr>
            </w:pPr>
            <w:r w:rsidRPr="002E5315">
              <w:rPr>
                <w:rFonts w:cs="Arial"/>
                <w:color w:val="auto"/>
                <w:sz w:val="20"/>
                <w:szCs w:val="20"/>
              </w:rPr>
              <w:t>službenik za informiranje</w:t>
            </w:r>
          </w:p>
        </w:tc>
        <w:tc>
          <w:tcPr>
            <w:tcW w:w="801" w:type="pct"/>
            <w:noWrap/>
            <w:hideMark/>
          </w:tcPr>
          <w:p w14:paraId="0665B8A6"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5</w:t>
            </w:r>
          </w:p>
        </w:tc>
        <w:tc>
          <w:tcPr>
            <w:tcW w:w="674" w:type="pct"/>
            <w:noWrap/>
            <w:hideMark/>
          </w:tcPr>
          <w:p w14:paraId="076978F9"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3,16</w:t>
            </w:r>
          </w:p>
        </w:tc>
      </w:tr>
      <w:tr w:rsidR="00E82047" w:rsidRPr="002E5315" w14:paraId="63A00695" w14:textId="77777777" w:rsidTr="00E82047">
        <w:trPr>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1ECDA1AA" w14:textId="77777777" w:rsidR="0085052B" w:rsidRPr="002E5315" w:rsidRDefault="0085052B" w:rsidP="0085052B">
            <w:pPr>
              <w:rPr>
                <w:rFonts w:cs="Arial"/>
                <w:color w:val="auto"/>
                <w:sz w:val="20"/>
                <w:szCs w:val="20"/>
              </w:rPr>
            </w:pPr>
            <w:r w:rsidRPr="002E5315">
              <w:rPr>
                <w:rFonts w:cs="Arial"/>
                <w:color w:val="auto"/>
                <w:sz w:val="20"/>
                <w:szCs w:val="20"/>
              </w:rPr>
              <w:t>ostvarivanje prava na pristup informacijama</w:t>
            </w:r>
          </w:p>
        </w:tc>
        <w:tc>
          <w:tcPr>
            <w:tcW w:w="801" w:type="pct"/>
            <w:noWrap/>
            <w:hideMark/>
          </w:tcPr>
          <w:p w14:paraId="51BFBA44"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1</w:t>
            </w:r>
          </w:p>
        </w:tc>
        <w:tc>
          <w:tcPr>
            <w:tcW w:w="674" w:type="pct"/>
            <w:noWrap/>
            <w:hideMark/>
          </w:tcPr>
          <w:p w14:paraId="4359B5CB"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0,63</w:t>
            </w:r>
          </w:p>
        </w:tc>
      </w:tr>
      <w:tr w:rsidR="00E82047" w:rsidRPr="002E5315" w14:paraId="0660092A" w14:textId="77777777" w:rsidTr="00E8204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0D297A2B" w14:textId="77777777" w:rsidR="0085052B" w:rsidRPr="002E5315" w:rsidRDefault="0085052B" w:rsidP="0085052B">
            <w:pPr>
              <w:rPr>
                <w:rFonts w:cs="Arial"/>
                <w:color w:val="auto"/>
                <w:sz w:val="20"/>
                <w:szCs w:val="20"/>
              </w:rPr>
            </w:pPr>
            <w:r w:rsidRPr="002E5315">
              <w:rPr>
                <w:rFonts w:cs="Arial"/>
                <w:color w:val="auto"/>
                <w:sz w:val="20"/>
                <w:szCs w:val="20"/>
              </w:rPr>
              <w:t>ostalo</w:t>
            </w:r>
          </w:p>
        </w:tc>
        <w:tc>
          <w:tcPr>
            <w:tcW w:w="801" w:type="pct"/>
            <w:noWrap/>
            <w:hideMark/>
          </w:tcPr>
          <w:p w14:paraId="0B4076A7"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23</w:t>
            </w:r>
          </w:p>
        </w:tc>
        <w:tc>
          <w:tcPr>
            <w:tcW w:w="674" w:type="pct"/>
            <w:noWrap/>
            <w:hideMark/>
          </w:tcPr>
          <w:p w14:paraId="43148C88"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14,56</w:t>
            </w:r>
          </w:p>
        </w:tc>
      </w:tr>
      <w:tr w:rsidR="00E82047" w:rsidRPr="002E5315" w14:paraId="0F6378C3" w14:textId="77777777" w:rsidTr="00E82047">
        <w:trPr>
          <w:trHeight w:val="284"/>
          <w:jc w:val="center"/>
        </w:trPr>
        <w:tc>
          <w:tcPr>
            <w:cnfStyle w:val="001000000000" w:firstRow="0" w:lastRow="0" w:firstColumn="1" w:lastColumn="0" w:oddVBand="0" w:evenVBand="0" w:oddHBand="0" w:evenHBand="0" w:firstRowFirstColumn="0" w:firstRowLastColumn="0" w:lastRowFirstColumn="0" w:lastRowLastColumn="0"/>
            <w:tcW w:w="3526" w:type="pct"/>
            <w:noWrap/>
            <w:hideMark/>
          </w:tcPr>
          <w:p w14:paraId="2D4C35E0" w14:textId="77777777" w:rsidR="0085052B" w:rsidRPr="002E5315" w:rsidRDefault="0085052B" w:rsidP="0085052B">
            <w:pPr>
              <w:rPr>
                <w:rFonts w:cs="Arial"/>
                <w:color w:val="auto"/>
                <w:sz w:val="20"/>
                <w:szCs w:val="20"/>
              </w:rPr>
            </w:pPr>
            <w:r w:rsidRPr="002E5315">
              <w:rPr>
                <w:rFonts w:cs="Arial"/>
                <w:color w:val="auto"/>
                <w:sz w:val="20"/>
                <w:szCs w:val="20"/>
              </w:rPr>
              <w:t>UKUPNO</w:t>
            </w:r>
          </w:p>
        </w:tc>
        <w:tc>
          <w:tcPr>
            <w:tcW w:w="801" w:type="pct"/>
            <w:noWrap/>
            <w:hideMark/>
          </w:tcPr>
          <w:p w14:paraId="5FBB8CE4"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2E5315">
              <w:rPr>
                <w:rFonts w:cs="Arial"/>
                <w:b/>
                <w:bCs/>
                <w:color w:val="auto"/>
                <w:sz w:val="20"/>
                <w:szCs w:val="20"/>
              </w:rPr>
              <w:t>158</w:t>
            </w:r>
          </w:p>
        </w:tc>
        <w:tc>
          <w:tcPr>
            <w:tcW w:w="674" w:type="pct"/>
            <w:noWrap/>
            <w:hideMark/>
          </w:tcPr>
          <w:p w14:paraId="391901B6"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2E5315">
              <w:rPr>
                <w:rFonts w:cs="Arial"/>
                <w:b/>
                <w:bCs/>
                <w:color w:val="auto"/>
                <w:sz w:val="20"/>
                <w:szCs w:val="20"/>
              </w:rPr>
              <w:t>100,00</w:t>
            </w:r>
          </w:p>
        </w:tc>
      </w:tr>
    </w:tbl>
    <w:p w14:paraId="4296605C" w14:textId="4F45CE25" w:rsidR="0085052B" w:rsidRPr="002E5315" w:rsidRDefault="0085052B" w:rsidP="00E82047">
      <w:pPr>
        <w:spacing w:before="240"/>
        <w:rPr>
          <w:sz w:val="22"/>
          <w:szCs w:val="22"/>
        </w:rPr>
      </w:pPr>
      <w:r w:rsidRPr="002E5315">
        <w:rPr>
          <w:sz w:val="22"/>
          <w:szCs w:val="22"/>
        </w:rPr>
        <w:t xml:space="preserve">S aspekta korisnika </w:t>
      </w:r>
      <w:r w:rsidR="00E82047" w:rsidRPr="002E5315">
        <w:rPr>
          <w:sz w:val="22"/>
          <w:szCs w:val="22"/>
        </w:rPr>
        <w:t>(Tablica 16.4.),</w:t>
      </w:r>
      <w:r w:rsidRPr="002E5315">
        <w:rPr>
          <w:sz w:val="22"/>
          <w:szCs w:val="22"/>
        </w:rPr>
        <w:t xml:space="preserve"> </w:t>
      </w:r>
      <w:r w:rsidR="00E56388" w:rsidRPr="002E5315">
        <w:rPr>
          <w:szCs w:val="23"/>
        </w:rPr>
        <w:t>najveći broj upita odnosio se na ostvarivanje prava na pristup informacijama postupanjem po zahtjevu dok se manji dio upita odnosio na specifičnu skupinu korisnika - novinarski upiti postavljeni Povjereniku i upite vijećnika te provedbu savjetovanja s javnošću. Treba naglasiti da se čak 29 upita korisnika (20,42%) odnosilo na pitanja koja nisu u djelokrugu Povjerenika, što ukazuje na to da se Povjereniku u značajnom broju obraćaju i korisnici koji nisu sigurni kojem se tijelu obratiti s upitom ili pogrešno smatrajući da je „Povjerenik za informiranje zadužen za informiranje o svemu“. Povjerenik je odgovarao i na te upite, upućujući podnositelje na nadležna tijela ili ustupajući upite tim tijelima na daljnje postupanje</w:t>
      </w:r>
      <w:r w:rsidRPr="002E5315">
        <w:rPr>
          <w:sz w:val="22"/>
          <w:szCs w:val="22"/>
        </w:rPr>
        <w:t>.</w:t>
      </w:r>
    </w:p>
    <w:p w14:paraId="71F3CE02" w14:textId="2719E76D" w:rsidR="00E82047" w:rsidRPr="002E5315" w:rsidRDefault="00E82047" w:rsidP="00E82047">
      <w:pPr>
        <w:keepNext/>
        <w:spacing w:before="240"/>
        <w:rPr>
          <w:sz w:val="20"/>
          <w:szCs w:val="20"/>
        </w:rPr>
      </w:pPr>
      <w:r w:rsidRPr="002E5315">
        <w:rPr>
          <w:sz w:val="20"/>
          <w:szCs w:val="20"/>
        </w:rPr>
        <w:t>Tablica 16.4. Struktura upita korisnika prema sadržaju</w:t>
      </w:r>
    </w:p>
    <w:tbl>
      <w:tblPr>
        <w:tblStyle w:val="LightShading-Accent11"/>
        <w:tblW w:w="5000" w:type="pct"/>
        <w:tblLook w:val="04A0" w:firstRow="1" w:lastRow="0" w:firstColumn="1" w:lastColumn="0" w:noHBand="0" w:noVBand="1"/>
      </w:tblPr>
      <w:tblGrid>
        <w:gridCol w:w="6606"/>
        <w:gridCol w:w="1343"/>
        <w:gridCol w:w="1339"/>
      </w:tblGrid>
      <w:tr w:rsidR="00E82047" w:rsidRPr="002E5315" w14:paraId="1D4C10BD" w14:textId="77777777" w:rsidTr="00E56388">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67A856F3" w14:textId="77777777" w:rsidR="0085052B" w:rsidRPr="002E5315" w:rsidRDefault="0085052B" w:rsidP="0085052B">
            <w:pPr>
              <w:jc w:val="center"/>
              <w:rPr>
                <w:rFonts w:cs="Arial"/>
                <w:color w:val="auto"/>
                <w:sz w:val="20"/>
                <w:szCs w:val="20"/>
              </w:rPr>
            </w:pPr>
            <w:r w:rsidRPr="002E5315">
              <w:rPr>
                <w:rFonts w:cs="Arial"/>
                <w:color w:val="auto"/>
                <w:sz w:val="20"/>
                <w:szCs w:val="20"/>
              </w:rPr>
              <w:t>Struktura upita - korisnici</w:t>
            </w:r>
          </w:p>
        </w:tc>
        <w:tc>
          <w:tcPr>
            <w:tcW w:w="723" w:type="pct"/>
            <w:noWrap/>
            <w:hideMark/>
          </w:tcPr>
          <w:p w14:paraId="401C93BA"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n</w:t>
            </w:r>
          </w:p>
        </w:tc>
        <w:tc>
          <w:tcPr>
            <w:tcW w:w="721" w:type="pct"/>
            <w:noWrap/>
            <w:hideMark/>
          </w:tcPr>
          <w:p w14:paraId="235C0C2E" w14:textId="77777777" w:rsidR="0085052B" w:rsidRPr="002E5315" w:rsidRDefault="0085052B" w:rsidP="0085052B">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w:t>
            </w:r>
          </w:p>
        </w:tc>
      </w:tr>
      <w:tr w:rsidR="00E82047" w:rsidRPr="002E5315" w14:paraId="15F6817A" w14:textId="77777777" w:rsidTr="00E5638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0A2AD5D7" w14:textId="77777777" w:rsidR="0085052B" w:rsidRPr="002E5315" w:rsidRDefault="0085052B" w:rsidP="0085052B">
            <w:pPr>
              <w:rPr>
                <w:rFonts w:cs="Arial"/>
                <w:color w:val="auto"/>
                <w:sz w:val="20"/>
                <w:szCs w:val="20"/>
              </w:rPr>
            </w:pPr>
            <w:r w:rsidRPr="002E5315">
              <w:rPr>
                <w:rFonts w:cs="Arial"/>
                <w:color w:val="auto"/>
                <w:sz w:val="20"/>
                <w:szCs w:val="20"/>
              </w:rPr>
              <w:t>Rješavanje zahtjeva / ostvarivanje prava</w:t>
            </w:r>
          </w:p>
        </w:tc>
        <w:tc>
          <w:tcPr>
            <w:tcW w:w="723" w:type="pct"/>
            <w:noWrap/>
            <w:hideMark/>
          </w:tcPr>
          <w:p w14:paraId="285A4EE8"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58</w:t>
            </w:r>
          </w:p>
        </w:tc>
        <w:tc>
          <w:tcPr>
            <w:tcW w:w="721" w:type="pct"/>
            <w:noWrap/>
            <w:hideMark/>
          </w:tcPr>
          <w:p w14:paraId="2B91DDCB"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40,85</w:t>
            </w:r>
          </w:p>
        </w:tc>
      </w:tr>
      <w:tr w:rsidR="00E82047" w:rsidRPr="002E5315" w14:paraId="67C9D795" w14:textId="77777777" w:rsidTr="00E56388">
        <w:trPr>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2CD1D8CC" w14:textId="77777777" w:rsidR="0085052B" w:rsidRPr="002E5315" w:rsidRDefault="0085052B" w:rsidP="0085052B">
            <w:pPr>
              <w:rPr>
                <w:rFonts w:cs="Arial"/>
                <w:color w:val="auto"/>
                <w:sz w:val="20"/>
                <w:szCs w:val="20"/>
              </w:rPr>
            </w:pPr>
            <w:r w:rsidRPr="002E5315">
              <w:rPr>
                <w:rFonts w:cs="Arial"/>
                <w:color w:val="auto"/>
                <w:sz w:val="20"/>
                <w:szCs w:val="20"/>
              </w:rPr>
              <w:t>Novinarski upit Povjereniku za informiranje</w:t>
            </w:r>
          </w:p>
        </w:tc>
        <w:tc>
          <w:tcPr>
            <w:tcW w:w="723" w:type="pct"/>
            <w:noWrap/>
            <w:hideMark/>
          </w:tcPr>
          <w:p w14:paraId="0976DBC9"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9</w:t>
            </w:r>
          </w:p>
        </w:tc>
        <w:tc>
          <w:tcPr>
            <w:tcW w:w="721" w:type="pct"/>
            <w:noWrap/>
            <w:hideMark/>
          </w:tcPr>
          <w:p w14:paraId="2FDA610C"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6,34</w:t>
            </w:r>
          </w:p>
        </w:tc>
      </w:tr>
      <w:tr w:rsidR="00E82047" w:rsidRPr="002E5315" w14:paraId="5B0DEA24" w14:textId="77777777" w:rsidTr="00E5638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4560613F" w14:textId="77777777" w:rsidR="0085052B" w:rsidRPr="002E5315" w:rsidRDefault="0085052B" w:rsidP="0085052B">
            <w:pPr>
              <w:rPr>
                <w:rFonts w:cs="Arial"/>
                <w:color w:val="auto"/>
                <w:sz w:val="20"/>
                <w:szCs w:val="20"/>
              </w:rPr>
            </w:pPr>
            <w:r w:rsidRPr="002E5315">
              <w:rPr>
                <w:rFonts w:cs="Arial"/>
                <w:color w:val="auto"/>
                <w:sz w:val="20"/>
                <w:szCs w:val="20"/>
              </w:rPr>
              <w:t>Ostalo (vijećnička pitanja)</w:t>
            </w:r>
          </w:p>
        </w:tc>
        <w:tc>
          <w:tcPr>
            <w:tcW w:w="723" w:type="pct"/>
            <w:noWrap/>
            <w:hideMark/>
          </w:tcPr>
          <w:p w14:paraId="1D7F79DE"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7</w:t>
            </w:r>
          </w:p>
        </w:tc>
        <w:tc>
          <w:tcPr>
            <w:tcW w:w="721" w:type="pct"/>
            <w:noWrap/>
            <w:hideMark/>
          </w:tcPr>
          <w:p w14:paraId="3E72F42B"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4,93</w:t>
            </w:r>
          </w:p>
        </w:tc>
      </w:tr>
      <w:tr w:rsidR="00E82047" w:rsidRPr="002E5315" w14:paraId="75318CE8" w14:textId="77777777" w:rsidTr="00E56388">
        <w:trPr>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3FDC3CB9" w14:textId="77777777" w:rsidR="0085052B" w:rsidRPr="002E5315" w:rsidRDefault="0085052B" w:rsidP="0085052B">
            <w:pPr>
              <w:rPr>
                <w:rFonts w:cs="Arial"/>
                <w:color w:val="auto"/>
                <w:sz w:val="20"/>
                <w:szCs w:val="20"/>
              </w:rPr>
            </w:pPr>
            <w:r w:rsidRPr="002E5315">
              <w:rPr>
                <w:rFonts w:cs="Arial"/>
                <w:color w:val="auto"/>
                <w:sz w:val="20"/>
                <w:szCs w:val="20"/>
              </w:rPr>
              <w:t>Savjetovanje s javnošću</w:t>
            </w:r>
          </w:p>
        </w:tc>
        <w:tc>
          <w:tcPr>
            <w:tcW w:w="723" w:type="pct"/>
            <w:noWrap/>
            <w:hideMark/>
          </w:tcPr>
          <w:p w14:paraId="7F125048"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8</w:t>
            </w:r>
          </w:p>
        </w:tc>
        <w:tc>
          <w:tcPr>
            <w:tcW w:w="721" w:type="pct"/>
            <w:noWrap/>
            <w:hideMark/>
          </w:tcPr>
          <w:p w14:paraId="7C9EDA81"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5,63</w:t>
            </w:r>
          </w:p>
        </w:tc>
      </w:tr>
      <w:tr w:rsidR="00E82047" w:rsidRPr="002E5315" w14:paraId="344FC374" w14:textId="77777777" w:rsidTr="00E5638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08F79ED7" w14:textId="77777777" w:rsidR="0085052B" w:rsidRPr="002E5315" w:rsidRDefault="0085052B" w:rsidP="0085052B">
            <w:pPr>
              <w:rPr>
                <w:rFonts w:cs="Arial"/>
                <w:color w:val="auto"/>
                <w:sz w:val="20"/>
                <w:szCs w:val="20"/>
              </w:rPr>
            </w:pPr>
            <w:r w:rsidRPr="002E5315">
              <w:rPr>
                <w:rFonts w:cs="Arial"/>
                <w:color w:val="auto"/>
                <w:sz w:val="20"/>
                <w:szCs w:val="20"/>
              </w:rPr>
              <w:t>Ostala pitanja iz djelokruga Povjerenika</w:t>
            </w:r>
          </w:p>
        </w:tc>
        <w:tc>
          <w:tcPr>
            <w:tcW w:w="723" w:type="pct"/>
            <w:noWrap/>
            <w:hideMark/>
          </w:tcPr>
          <w:p w14:paraId="1E9549A4"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31</w:t>
            </w:r>
          </w:p>
        </w:tc>
        <w:tc>
          <w:tcPr>
            <w:tcW w:w="721" w:type="pct"/>
            <w:noWrap/>
            <w:hideMark/>
          </w:tcPr>
          <w:p w14:paraId="6036E082"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2E5315">
              <w:rPr>
                <w:rFonts w:cs="Arial"/>
                <w:color w:val="auto"/>
                <w:sz w:val="20"/>
                <w:szCs w:val="20"/>
              </w:rPr>
              <w:t>21,83</w:t>
            </w:r>
          </w:p>
        </w:tc>
      </w:tr>
      <w:tr w:rsidR="00E82047" w:rsidRPr="002E5315" w14:paraId="22855F4C" w14:textId="77777777" w:rsidTr="00E56388">
        <w:trPr>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730A0604" w14:textId="77777777" w:rsidR="0085052B" w:rsidRPr="002E5315" w:rsidRDefault="0085052B" w:rsidP="0085052B">
            <w:pPr>
              <w:rPr>
                <w:rFonts w:cs="Arial"/>
                <w:color w:val="auto"/>
                <w:sz w:val="20"/>
                <w:szCs w:val="20"/>
              </w:rPr>
            </w:pPr>
            <w:r w:rsidRPr="002E5315">
              <w:rPr>
                <w:rFonts w:cs="Arial"/>
                <w:color w:val="auto"/>
                <w:sz w:val="20"/>
                <w:szCs w:val="20"/>
              </w:rPr>
              <w:t>Ostalo (nije djelokrug PI)</w:t>
            </w:r>
          </w:p>
        </w:tc>
        <w:tc>
          <w:tcPr>
            <w:tcW w:w="723" w:type="pct"/>
            <w:noWrap/>
            <w:hideMark/>
          </w:tcPr>
          <w:p w14:paraId="6295AF3A"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29</w:t>
            </w:r>
          </w:p>
        </w:tc>
        <w:tc>
          <w:tcPr>
            <w:tcW w:w="721" w:type="pct"/>
            <w:noWrap/>
            <w:hideMark/>
          </w:tcPr>
          <w:p w14:paraId="237033F1" w14:textId="77777777" w:rsidR="0085052B" w:rsidRPr="002E5315" w:rsidRDefault="0085052B" w:rsidP="00E8204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E5315">
              <w:rPr>
                <w:rFonts w:cs="Arial"/>
                <w:color w:val="auto"/>
                <w:sz w:val="20"/>
                <w:szCs w:val="20"/>
              </w:rPr>
              <w:t>20,42</w:t>
            </w:r>
          </w:p>
        </w:tc>
      </w:tr>
      <w:tr w:rsidR="00E82047" w:rsidRPr="002E5315" w14:paraId="24F35806" w14:textId="77777777" w:rsidTr="00E5638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556" w:type="pct"/>
            <w:noWrap/>
            <w:hideMark/>
          </w:tcPr>
          <w:p w14:paraId="71A5A9AB" w14:textId="77777777" w:rsidR="0085052B" w:rsidRPr="002E5315" w:rsidRDefault="0085052B" w:rsidP="0085052B">
            <w:pPr>
              <w:rPr>
                <w:rFonts w:cs="Arial"/>
                <w:color w:val="auto"/>
                <w:sz w:val="20"/>
                <w:szCs w:val="20"/>
              </w:rPr>
            </w:pPr>
            <w:r w:rsidRPr="002E5315">
              <w:rPr>
                <w:rFonts w:cs="Arial"/>
                <w:color w:val="auto"/>
                <w:sz w:val="20"/>
                <w:szCs w:val="20"/>
              </w:rPr>
              <w:t>UKUPNO</w:t>
            </w:r>
          </w:p>
        </w:tc>
        <w:tc>
          <w:tcPr>
            <w:tcW w:w="723" w:type="pct"/>
            <w:noWrap/>
            <w:hideMark/>
          </w:tcPr>
          <w:p w14:paraId="7B6AF4C3"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142</w:t>
            </w:r>
          </w:p>
        </w:tc>
        <w:tc>
          <w:tcPr>
            <w:tcW w:w="721" w:type="pct"/>
            <w:noWrap/>
            <w:hideMark/>
          </w:tcPr>
          <w:p w14:paraId="513CCF8E" w14:textId="77777777" w:rsidR="0085052B" w:rsidRPr="002E5315" w:rsidRDefault="0085052B" w:rsidP="00E82047">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20"/>
                <w:szCs w:val="20"/>
              </w:rPr>
            </w:pPr>
            <w:r w:rsidRPr="002E5315">
              <w:rPr>
                <w:rFonts w:cs="Arial"/>
                <w:b/>
                <w:bCs/>
                <w:color w:val="auto"/>
                <w:sz w:val="20"/>
                <w:szCs w:val="20"/>
              </w:rPr>
              <w:t>100,00</w:t>
            </w:r>
          </w:p>
        </w:tc>
      </w:tr>
    </w:tbl>
    <w:p w14:paraId="494989E0" w14:textId="77777777" w:rsidR="00E56388" w:rsidRPr="002E5315" w:rsidRDefault="00E56388" w:rsidP="00E56388">
      <w:pPr>
        <w:spacing w:before="240"/>
        <w:rPr>
          <w:szCs w:val="23"/>
        </w:rPr>
      </w:pPr>
      <w:r w:rsidRPr="002E5315">
        <w:rPr>
          <w:szCs w:val="23"/>
        </w:rPr>
        <w:t>Kako su upiti korisnika i službenika za informiranje, jedan od pokazatelja problema u primjeni Zakona, ali i smjera u kojem treba nastaviti razvijati edukativne sadržaje za tijela odnosno korisnike, Ured će na isto odgovoriti planiranjem krojenih radionica za pojedine kategorije tijela ili korisnika.</w:t>
      </w:r>
    </w:p>
    <w:p w14:paraId="253B396F" w14:textId="77777777" w:rsidR="00E56388" w:rsidRPr="002E5315" w:rsidRDefault="00E56388" w:rsidP="00E56388">
      <w:pPr>
        <w:rPr>
          <w:rFonts w:cs="Calibri"/>
          <w:szCs w:val="23"/>
        </w:rPr>
      </w:pPr>
      <w:r w:rsidRPr="002E5315">
        <w:rPr>
          <w:rFonts w:cs="Calibri"/>
          <w:szCs w:val="23"/>
        </w:rPr>
        <w:t>U odgovorima na upite, građani i službenici za informiranje se obvezno upućuju i na objavljene edukativne sadržaje na internetskoj stranici Povjerenika te TOM - Tražilicu mišljenja i odluka.</w:t>
      </w:r>
    </w:p>
    <w:p w14:paraId="6C170FBE" w14:textId="77777777" w:rsidR="00E56388" w:rsidRPr="002E5315" w:rsidRDefault="00E56388" w:rsidP="000114BF">
      <w:pPr>
        <w:keepNext/>
        <w:numPr>
          <w:ilvl w:val="0"/>
          <w:numId w:val="12"/>
        </w:numPr>
        <w:spacing w:before="240"/>
        <w:ind w:left="709" w:hanging="357"/>
        <w:rPr>
          <w:i/>
          <w:szCs w:val="23"/>
        </w:rPr>
      </w:pPr>
      <w:r w:rsidRPr="002E5315">
        <w:rPr>
          <w:i/>
          <w:szCs w:val="23"/>
        </w:rPr>
        <w:t>Info-telefon</w:t>
      </w:r>
    </w:p>
    <w:p w14:paraId="0E60B7FC" w14:textId="77777777" w:rsidR="00633D93" w:rsidRDefault="00E56388" w:rsidP="00E56388">
      <w:pPr>
        <w:rPr>
          <w:color w:val="000000" w:themeColor="text1"/>
          <w:szCs w:val="23"/>
        </w:rPr>
      </w:pPr>
      <w:r w:rsidRPr="002E5315">
        <w:rPr>
          <w:color w:val="000000" w:themeColor="text1"/>
          <w:szCs w:val="23"/>
        </w:rPr>
        <w:t>Odgovaranje na upite putem info telefona ima za cilj pomoći korisnicima i službenicima za informiranje na brz i jednostavan način, davanjem upućujućih informacija odnosno smjernica vezanih uz ostvarivanje prava ili postupanja sa zahtjevom. Na upite korisnika i tijela o primjeni ZPPI-ja i putem info-telefona odgovara se tri puta tjedno u vremenu od 13 do 15 sati</w:t>
      </w:r>
      <w:r w:rsidR="00633D93">
        <w:rPr>
          <w:color w:val="000000" w:themeColor="text1"/>
          <w:szCs w:val="23"/>
        </w:rPr>
        <w:t>.</w:t>
      </w:r>
    </w:p>
    <w:p w14:paraId="66BE5296" w14:textId="475B2329" w:rsidR="00E56388" w:rsidRPr="002E5315" w:rsidRDefault="00E56388" w:rsidP="00E56388">
      <w:pPr>
        <w:rPr>
          <w:rFonts w:cs="Calibri"/>
          <w:sz w:val="22"/>
          <w:szCs w:val="22"/>
        </w:rPr>
      </w:pPr>
      <w:r w:rsidRPr="002E5315">
        <w:rPr>
          <w:color w:val="000000" w:themeColor="text1"/>
          <w:szCs w:val="23"/>
        </w:rPr>
        <w:t xml:space="preserve">U 2019. odgovoreno je na ukupno 548 poziva građana, novinara, udruga i službenika za informiranje u tijelima javne vlasti </w:t>
      </w:r>
      <w:r w:rsidRPr="002E5315">
        <w:rPr>
          <w:rFonts w:cs="Calibri"/>
          <w:color w:val="000000" w:themeColor="text1"/>
          <w:szCs w:val="23"/>
        </w:rPr>
        <w:t>(597 u 2018.).</w:t>
      </w:r>
      <w:r w:rsidRPr="002E5315">
        <w:rPr>
          <w:color w:val="000000" w:themeColor="text1"/>
          <w:szCs w:val="23"/>
        </w:rPr>
        <w:t xml:space="preserve"> Neznatna je razlika u broju upita korisnika (278 ili 50,73%) u odnosu na tijela (264 ili 48,18%), dok je broj upita novinara putem info-telefona zanemariv</w:t>
      </w:r>
      <w:r w:rsidR="0085052B" w:rsidRPr="002E5315">
        <w:rPr>
          <w:rFonts w:cs="Calibri"/>
          <w:sz w:val="22"/>
          <w:szCs w:val="22"/>
        </w:rPr>
        <w:t>.</w:t>
      </w:r>
    </w:p>
    <w:p w14:paraId="2E7336E9" w14:textId="08BE2304" w:rsidR="00E56388" w:rsidRPr="002E5315" w:rsidRDefault="00E56388" w:rsidP="00E56388">
      <w:pPr>
        <w:spacing w:before="240"/>
        <w:rPr>
          <w:color w:val="000000" w:themeColor="text1"/>
          <w:sz w:val="20"/>
          <w:szCs w:val="20"/>
        </w:rPr>
      </w:pPr>
      <w:r w:rsidRPr="002E5315">
        <w:rPr>
          <w:color w:val="000000" w:themeColor="text1"/>
          <w:sz w:val="20"/>
          <w:szCs w:val="20"/>
        </w:rPr>
        <w:t>Tablica 16.5. Info-telefon struktura upita prema podnositeljima</w:t>
      </w:r>
    </w:p>
    <w:tbl>
      <w:tblPr>
        <w:tblStyle w:val="LightShading-Accent11"/>
        <w:tblW w:w="5000" w:type="pct"/>
        <w:tblLook w:val="04A0" w:firstRow="1" w:lastRow="0" w:firstColumn="1" w:lastColumn="0" w:noHBand="0" w:noVBand="1"/>
      </w:tblPr>
      <w:tblGrid>
        <w:gridCol w:w="5950"/>
        <w:gridCol w:w="1670"/>
        <w:gridCol w:w="1668"/>
      </w:tblGrid>
      <w:tr w:rsidR="00E56388" w:rsidRPr="002E5315" w14:paraId="48B8361F" w14:textId="77777777" w:rsidTr="00E56388">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203" w:type="pct"/>
            <w:noWrap/>
            <w:vAlign w:val="center"/>
            <w:hideMark/>
          </w:tcPr>
          <w:p w14:paraId="150E4A23" w14:textId="77777777" w:rsidR="00E56388" w:rsidRPr="002E5315" w:rsidRDefault="00E56388" w:rsidP="00EC7A83">
            <w:pPr>
              <w:jc w:val="center"/>
              <w:rPr>
                <w:rFonts w:cs="Arial"/>
                <w:color w:val="000000" w:themeColor="text1"/>
                <w:szCs w:val="23"/>
                <w:lang w:eastAsia="en-US"/>
              </w:rPr>
            </w:pPr>
            <w:r w:rsidRPr="002E5315">
              <w:rPr>
                <w:rFonts w:cs="Arial"/>
                <w:color w:val="000000" w:themeColor="text1"/>
                <w:szCs w:val="23"/>
                <w:lang w:eastAsia="en-US"/>
              </w:rPr>
              <w:t>Struktura upita - po podnositeljima</w:t>
            </w:r>
          </w:p>
        </w:tc>
        <w:tc>
          <w:tcPr>
            <w:tcW w:w="899" w:type="pct"/>
            <w:noWrap/>
            <w:vAlign w:val="center"/>
            <w:hideMark/>
          </w:tcPr>
          <w:p w14:paraId="603ECABF" w14:textId="77777777" w:rsidR="00E56388" w:rsidRPr="002E5315" w:rsidRDefault="00E56388" w:rsidP="00E56388">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Cs w:val="23"/>
                <w:lang w:eastAsia="en-US"/>
              </w:rPr>
            </w:pPr>
            <w:r w:rsidRPr="002E5315">
              <w:rPr>
                <w:rFonts w:cs="Arial"/>
                <w:color w:val="000000" w:themeColor="text1"/>
                <w:szCs w:val="23"/>
                <w:lang w:eastAsia="en-US"/>
              </w:rPr>
              <w:t>n</w:t>
            </w:r>
          </w:p>
        </w:tc>
        <w:tc>
          <w:tcPr>
            <w:tcW w:w="899" w:type="pct"/>
            <w:noWrap/>
            <w:vAlign w:val="center"/>
            <w:hideMark/>
          </w:tcPr>
          <w:p w14:paraId="63F4FDC4" w14:textId="77777777" w:rsidR="00E56388" w:rsidRPr="002E5315" w:rsidRDefault="00E56388" w:rsidP="00E56388">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Cs w:val="23"/>
                <w:lang w:eastAsia="en-US"/>
              </w:rPr>
            </w:pPr>
            <w:r w:rsidRPr="002E5315">
              <w:rPr>
                <w:rFonts w:cs="Arial"/>
                <w:color w:val="000000" w:themeColor="text1"/>
                <w:szCs w:val="23"/>
                <w:lang w:eastAsia="en-US"/>
              </w:rPr>
              <w:t>%</w:t>
            </w:r>
          </w:p>
        </w:tc>
      </w:tr>
      <w:tr w:rsidR="00E56388" w:rsidRPr="002E5315" w14:paraId="539BFD91" w14:textId="77777777" w:rsidTr="00E5638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203" w:type="pct"/>
            <w:noWrap/>
            <w:vAlign w:val="center"/>
            <w:hideMark/>
          </w:tcPr>
          <w:p w14:paraId="5E012F02" w14:textId="77777777" w:rsidR="00E56388" w:rsidRPr="002E5315" w:rsidRDefault="00E56388" w:rsidP="00EC7A83">
            <w:pPr>
              <w:rPr>
                <w:rFonts w:cs="Calibri"/>
                <w:b w:val="0"/>
                <w:bCs w:val="0"/>
                <w:color w:val="000000" w:themeColor="text1"/>
                <w:szCs w:val="23"/>
                <w:lang w:eastAsia="en-US"/>
              </w:rPr>
            </w:pPr>
            <w:r w:rsidRPr="002E5315">
              <w:rPr>
                <w:rFonts w:cs="Calibri"/>
                <w:color w:val="000000" w:themeColor="text1"/>
                <w:szCs w:val="23"/>
                <w:lang w:eastAsia="en-US"/>
              </w:rPr>
              <w:t>Tijela javne vlasti</w:t>
            </w:r>
          </w:p>
        </w:tc>
        <w:tc>
          <w:tcPr>
            <w:tcW w:w="899" w:type="pct"/>
            <w:noWrap/>
            <w:vAlign w:val="center"/>
            <w:hideMark/>
          </w:tcPr>
          <w:p w14:paraId="6E754135" w14:textId="77777777" w:rsidR="00E56388" w:rsidRPr="002E5315" w:rsidRDefault="00E56388" w:rsidP="00E56388">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Cs w:val="23"/>
                <w:lang w:eastAsia="en-US"/>
              </w:rPr>
            </w:pPr>
            <w:r w:rsidRPr="002E5315">
              <w:rPr>
                <w:rFonts w:cs="Calibri"/>
                <w:color w:val="000000" w:themeColor="text1"/>
                <w:szCs w:val="23"/>
                <w:lang w:eastAsia="en-US"/>
              </w:rPr>
              <w:t>264</w:t>
            </w:r>
          </w:p>
        </w:tc>
        <w:tc>
          <w:tcPr>
            <w:tcW w:w="899" w:type="pct"/>
            <w:noWrap/>
            <w:vAlign w:val="center"/>
            <w:hideMark/>
          </w:tcPr>
          <w:p w14:paraId="23537429" w14:textId="77777777" w:rsidR="00E56388" w:rsidRPr="002E5315" w:rsidRDefault="00E56388" w:rsidP="00E56388">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Cs w:val="23"/>
                <w:lang w:eastAsia="en-US"/>
              </w:rPr>
            </w:pPr>
            <w:r w:rsidRPr="002E5315">
              <w:rPr>
                <w:rFonts w:cs="Calibri"/>
                <w:color w:val="000000" w:themeColor="text1"/>
                <w:szCs w:val="23"/>
                <w:lang w:eastAsia="en-US"/>
              </w:rPr>
              <w:t>48,18</w:t>
            </w:r>
          </w:p>
        </w:tc>
      </w:tr>
      <w:tr w:rsidR="00E56388" w:rsidRPr="002E5315" w14:paraId="32A50729" w14:textId="77777777" w:rsidTr="00E56388">
        <w:trPr>
          <w:trHeight w:val="274"/>
        </w:trPr>
        <w:tc>
          <w:tcPr>
            <w:cnfStyle w:val="001000000000" w:firstRow="0" w:lastRow="0" w:firstColumn="1" w:lastColumn="0" w:oddVBand="0" w:evenVBand="0" w:oddHBand="0" w:evenHBand="0" w:firstRowFirstColumn="0" w:firstRowLastColumn="0" w:lastRowFirstColumn="0" w:lastRowLastColumn="0"/>
            <w:tcW w:w="3203" w:type="pct"/>
            <w:noWrap/>
            <w:vAlign w:val="center"/>
            <w:hideMark/>
          </w:tcPr>
          <w:p w14:paraId="225B981E" w14:textId="77777777" w:rsidR="00E56388" w:rsidRPr="002E5315" w:rsidRDefault="00E56388" w:rsidP="00EC7A83">
            <w:pPr>
              <w:rPr>
                <w:rFonts w:cs="Calibri"/>
                <w:b w:val="0"/>
                <w:bCs w:val="0"/>
                <w:color w:val="000000" w:themeColor="text1"/>
                <w:szCs w:val="23"/>
                <w:lang w:eastAsia="en-US"/>
              </w:rPr>
            </w:pPr>
            <w:r w:rsidRPr="002E5315">
              <w:rPr>
                <w:rFonts w:cs="Calibri"/>
                <w:color w:val="000000" w:themeColor="text1"/>
                <w:szCs w:val="23"/>
                <w:lang w:eastAsia="en-US"/>
              </w:rPr>
              <w:t>Korisnici</w:t>
            </w:r>
          </w:p>
        </w:tc>
        <w:tc>
          <w:tcPr>
            <w:tcW w:w="899" w:type="pct"/>
            <w:noWrap/>
            <w:vAlign w:val="center"/>
            <w:hideMark/>
          </w:tcPr>
          <w:p w14:paraId="2EE774B7" w14:textId="77777777" w:rsidR="00E56388" w:rsidRPr="002E5315" w:rsidRDefault="00E56388" w:rsidP="00E56388">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Cs w:val="23"/>
                <w:lang w:eastAsia="en-US"/>
              </w:rPr>
            </w:pPr>
            <w:r w:rsidRPr="002E5315">
              <w:rPr>
                <w:rFonts w:cs="Calibri"/>
                <w:color w:val="000000" w:themeColor="text1"/>
                <w:szCs w:val="23"/>
                <w:lang w:eastAsia="en-US"/>
              </w:rPr>
              <w:t>278</w:t>
            </w:r>
          </w:p>
        </w:tc>
        <w:tc>
          <w:tcPr>
            <w:tcW w:w="899" w:type="pct"/>
            <w:noWrap/>
            <w:vAlign w:val="center"/>
            <w:hideMark/>
          </w:tcPr>
          <w:p w14:paraId="007564B4" w14:textId="77777777" w:rsidR="00E56388" w:rsidRPr="002E5315" w:rsidRDefault="00E56388" w:rsidP="00E56388">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Cs w:val="23"/>
                <w:lang w:eastAsia="en-US"/>
              </w:rPr>
            </w:pPr>
            <w:r w:rsidRPr="002E5315">
              <w:rPr>
                <w:rFonts w:cs="Calibri"/>
                <w:color w:val="000000" w:themeColor="text1"/>
                <w:szCs w:val="23"/>
                <w:lang w:eastAsia="en-US"/>
              </w:rPr>
              <w:t>50,73</w:t>
            </w:r>
          </w:p>
        </w:tc>
      </w:tr>
      <w:tr w:rsidR="00E56388" w:rsidRPr="002E5315" w14:paraId="03228CD0" w14:textId="77777777" w:rsidTr="00C3591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203" w:type="pct"/>
            <w:shd w:val="clear" w:color="auto" w:fill="D9E2F3" w:themeFill="accent1" w:themeFillTint="33"/>
            <w:noWrap/>
            <w:vAlign w:val="center"/>
            <w:hideMark/>
          </w:tcPr>
          <w:p w14:paraId="00108B76" w14:textId="77777777" w:rsidR="00E56388" w:rsidRPr="002E5315" w:rsidRDefault="00E56388" w:rsidP="00EC7A83">
            <w:pPr>
              <w:rPr>
                <w:rFonts w:cs="Calibri"/>
                <w:b w:val="0"/>
                <w:bCs w:val="0"/>
                <w:color w:val="000000" w:themeColor="text1"/>
                <w:szCs w:val="23"/>
                <w:lang w:eastAsia="en-US"/>
              </w:rPr>
            </w:pPr>
            <w:r w:rsidRPr="002E5315">
              <w:rPr>
                <w:rFonts w:cs="Calibri"/>
                <w:color w:val="000000" w:themeColor="text1"/>
                <w:szCs w:val="23"/>
                <w:lang w:eastAsia="en-US"/>
              </w:rPr>
              <w:t>Mediji</w:t>
            </w:r>
          </w:p>
        </w:tc>
        <w:tc>
          <w:tcPr>
            <w:tcW w:w="899" w:type="pct"/>
            <w:shd w:val="clear" w:color="auto" w:fill="D9E2F3" w:themeFill="accent1" w:themeFillTint="33"/>
            <w:noWrap/>
            <w:vAlign w:val="center"/>
            <w:hideMark/>
          </w:tcPr>
          <w:p w14:paraId="15C2EB80" w14:textId="77777777" w:rsidR="00E56388" w:rsidRPr="002E5315" w:rsidRDefault="00E56388" w:rsidP="00E56388">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Cs w:val="23"/>
                <w:lang w:eastAsia="en-US"/>
              </w:rPr>
            </w:pPr>
            <w:r w:rsidRPr="002E5315">
              <w:rPr>
                <w:rFonts w:cs="Calibri"/>
                <w:color w:val="000000" w:themeColor="text1"/>
                <w:szCs w:val="23"/>
                <w:lang w:eastAsia="en-US"/>
              </w:rPr>
              <w:t>6</w:t>
            </w:r>
          </w:p>
        </w:tc>
        <w:tc>
          <w:tcPr>
            <w:tcW w:w="899" w:type="pct"/>
            <w:shd w:val="clear" w:color="auto" w:fill="D9E2F3" w:themeFill="accent1" w:themeFillTint="33"/>
            <w:noWrap/>
            <w:vAlign w:val="center"/>
            <w:hideMark/>
          </w:tcPr>
          <w:p w14:paraId="71D13D1E" w14:textId="77777777" w:rsidR="00E56388" w:rsidRPr="002E5315" w:rsidRDefault="00E56388" w:rsidP="00E56388">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Cs w:val="23"/>
                <w:lang w:eastAsia="en-US"/>
              </w:rPr>
            </w:pPr>
            <w:r w:rsidRPr="002E5315">
              <w:rPr>
                <w:rFonts w:cs="Calibri"/>
                <w:color w:val="000000" w:themeColor="text1"/>
                <w:szCs w:val="23"/>
                <w:lang w:eastAsia="en-US"/>
              </w:rPr>
              <w:t>1,09</w:t>
            </w:r>
          </w:p>
        </w:tc>
      </w:tr>
      <w:tr w:rsidR="00E56388" w:rsidRPr="002E5315" w14:paraId="176D1E1E" w14:textId="77777777" w:rsidTr="00E56388">
        <w:trPr>
          <w:trHeight w:val="274"/>
        </w:trPr>
        <w:tc>
          <w:tcPr>
            <w:cnfStyle w:val="001000000000" w:firstRow="0" w:lastRow="0" w:firstColumn="1" w:lastColumn="0" w:oddVBand="0" w:evenVBand="0" w:oddHBand="0" w:evenHBand="0" w:firstRowFirstColumn="0" w:firstRowLastColumn="0" w:lastRowFirstColumn="0" w:lastRowLastColumn="0"/>
            <w:tcW w:w="3203" w:type="pct"/>
            <w:noWrap/>
            <w:vAlign w:val="center"/>
            <w:hideMark/>
          </w:tcPr>
          <w:p w14:paraId="5F80B63E" w14:textId="77777777" w:rsidR="00E56388" w:rsidRPr="002E5315" w:rsidRDefault="00E56388" w:rsidP="00EC7A83">
            <w:pPr>
              <w:rPr>
                <w:rFonts w:cs="Calibri"/>
                <w:color w:val="000000" w:themeColor="text1"/>
                <w:szCs w:val="23"/>
                <w:lang w:eastAsia="en-US"/>
              </w:rPr>
            </w:pPr>
            <w:r w:rsidRPr="002E5315">
              <w:rPr>
                <w:rFonts w:cs="Calibri"/>
                <w:color w:val="000000" w:themeColor="text1"/>
                <w:szCs w:val="23"/>
                <w:lang w:eastAsia="en-US"/>
              </w:rPr>
              <w:t>UKUPNO</w:t>
            </w:r>
          </w:p>
        </w:tc>
        <w:tc>
          <w:tcPr>
            <w:tcW w:w="899" w:type="pct"/>
            <w:noWrap/>
            <w:vAlign w:val="center"/>
            <w:hideMark/>
          </w:tcPr>
          <w:p w14:paraId="67DC4895" w14:textId="77777777" w:rsidR="00E56388" w:rsidRPr="002E5315" w:rsidRDefault="00E56388" w:rsidP="00E56388">
            <w:pPr>
              <w:jc w:val="center"/>
              <w:cnfStyle w:val="000000000000" w:firstRow="0" w:lastRow="0" w:firstColumn="0" w:lastColumn="0" w:oddVBand="0" w:evenVBand="0" w:oddHBand="0" w:evenHBand="0" w:firstRowFirstColumn="0" w:firstRowLastColumn="0" w:lastRowFirstColumn="0" w:lastRowLastColumn="0"/>
              <w:rPr>
                <w:rFonts w:cs="Calibri"/>
                <w:b/>
                <w:bCs/>
                <w:color w:val="000000" w:themeColor="text1"/>
                <w:szCs w:val="23"/>
                <w:lang w:eastAsia="en-US"/>
              </w:rPr>
            </w:pPr>
            <w:r w:rsidRPr="002E5315">
              <w:rPr>
                <w:rFonts w:cs="Calibri"/>
                <w:b/>
                <w:bCs/>
                <w:color w:val="000000" w:themeColor="text1"/>
                <w:szCs w:val="23"/>
                <w:lang w:eastAsia="en-US"/>
              </w:rPr>
              <w:t>548</w:t>
            </w:r>
          </w:p>
        </w:tc>
        <w:tc>
          <w:tcPr>
            <w:tcW w:w="899" w:type="pct"/>
            <w:noWrap/>
            <w:vAlign w:val="center"/>
            <w:hideMark/>
          </w:tcPr>
          <w:p w14:paraId="08D967BB" w14:textId="77777777" w:rsidR="00E56388" w:rsidRPr="002E5315" w:rsidRDefault="00E56388" w:rsidP="00E56388">
            <w:pPr>
              <w:jc w:val="center"/>
              <w:cnfStyle w:val="000000000000" w:firstRow="0" w:lastRow="0" w:firstColumn="0" w:lastColumn="0" w:oddVBand="0" w:evenVBand="0" w:oddHBand="0" w:evenHBand="0" w:firstRowFirstColumn="0" w:firstRowLastColumn="0" w:lastRowFirstColumn="0" w:lastRowLastColumn="0"/>
              <w:rPr>
                <w:rFonts w:cs="Calibri"/>
                <w:b/>
                <w:bCs/>
                <w:color w:val="000000" w:themeColor="text1"/>
                <w:szCs w:val="23"/>
                <w:lang w:eastAsia="en-US"/>
              </w:rPr>
            </w:pPr>
            <w:r w:rsidRPr="002E5315">
              <w:rPr>
                <w:rFonts w:cs="Calibri"/>
                <w:b/>
                <w:bCs/>
                <w:color w:val="000000" w:themeColor="text1"/>
                <w:szCs w:val="23"/>
                <w:lang w:eastAsia="en-US"/>
              </w:rPr>
              <w:t>100,00</w:t>
            </w:r>
          </w:p>
        </w:tc>
      </w:tr>
    </w:tbl>
    <w:p w14:paraId="7338D7DE" w14:textId="2D75869E" w:rsidR="00E56388" w:rsidRPr="002E5315" w:rsidRDefault="00E56388" w:rsidP="00E368EA">
      <w:pPr>
        <w:spacing w:before="240"/>
        <w:rPr>
          <w:color w:val="000000" w:themeColor="text1"/>
          <w:szCs w:val="23"/>
        </w:rPr>
      </w:pPr>
      <w:r w:rsidRPr="002E5315">
        <w:rPr>
          <w:color w:val="000000" w:themeColor="text1"/>
          <w:szCs w:val="23"/>
        </w:rPr>
        <w:t>U pogledu pružanja pomoći korisnicima i tijelima, gledajući u cjelini, pored redovitih edukacijskih i promotivnih aktivnosti te suradnje s tijelima i udrugama, tijekom 2019. je odgovarano promptno, čemu treba pribrojati i veći broj neevidentiranih odgovora na upite kao i dolaske građana u Ured povjerenika radi informiranja o predmetima ili traženja pomoći.</w:t>
      </w:r>
    </w:p>
    <w:p w14:paraId="66E3B57F" w14:textId="27D0072F" w:rsidR="0085052B" w:rsidRPr="002E5315" w:rsidRDefault="0085052B" w:rsidP="0050490D">
      <w:pPr>
        <w:pStyle w:val="Naslov2"/>
      </w:pPr>
      <w:bookmarkStart w:id="119" w:name="_Toc36309006"/>
      <w:r w:rsidRPr="002E5315">
        <w:t>Smjernice i upute</w:t>
      </w:r>
      <w:bookmarkEnd w:id="119"/>
    </w:p>
    <w:p w14:paraId="35E8ACAF" w14:textId="1F9F9C43" w:rsidR="00042453" w:rsidRPr="002E5315" w:rsidRDefault="00042453" w:rsidP="00042453">
      <w:pPr>
        <w:rPr>
          <w:rFonts w:eastAsia="Malgun Gothic"/>
          <w:szCs w:val="23"/>
          <w:lang w:eastAsia="ko-KR"/>
        </w:rPr>
      </w:pPr>
      <w:r w:rsidRPr="002E5315">
        <w:rPr>
          <w:rFonts w:eastAsia="Malgun Gothic"/>
          <w:szCs w:val="23"/>
          <w:lang w:eastAsia="ko-KR"/>
        </w:rPr>
        <w:t>Sa svrhom standardizacije postupanja po odredbama ZPPI-ja, u 2019. je izrađeno 6</w:t>
      </w:r>
      <w:r w:rsidR="00954DB8" w:rsidRPr="002E5315">
        <w:rPr>
          <w:rFonts w:eastAsia="Malgun Gothic"/>
          <w:szCs w:val="23"/>
          <w:lang w:eastAsia="ko-KR"/>
        </w:rPr>
        <w:t xml:space="preserve"> </w:t>
      </w:r>
      <w:r w:rsidRPr="002E5315">
        <w:rPr>
          <w:rFonts w:eastAsia="Malgun Gothic"/>
          <w:szCs w:val="23"/>
          <w:lang w:eastAsia="ko-KR"/>
        </w:rPr>
        <w:t>smjernica ili uputa, od čega je 5 dodatnih smjernica kojima se nadopunjavaju već objavljene smjernice, i to:</w:t>
      </w:r>
    </w:p>
    <w:p w14:paraId="3A3591E3" w14:textId="77777777" w:rsidR="00042453" w:rsidRPr="002E5315" w:rsidRDefault="00042453" w:rsidP="000114BF">
      <w:pPr>
        <w:pStyle w:val="Odlomakpopisa"/>
        <w:numPr>
          <w:ilvl w:val="0"/>
          <w:numId w:val="13"/>
        </w:numPr>
        <w:ind w:left="709"/>
        <w:contextualSpacing/>
        <w:rPr>
          <w:rFonts w:ascii="Gill Sans MT" w:eastAsia="Malgun Gothic" w:hAnsi="Gill Sans MT"/>
          <w:sz w:val="23"/>
          <w:szCs w:val="23"/>
          <w:lang w:eastAsia="ko-KR"/>
        </w:rPr>
      </w:pPr>
      <w:r w:rsidRPr="002E5315">
        <w:rPr>
          <w:rFonts w:ascii="Gill Sans MT" w:eastAsia="Malgun Gothic" w:hAnsi="Gill Sans MT"/>
          <w:sz w:val="23"/>
          <w:szCs w:val="23"/>
          <w:lang w:eastAsia="ko-KR"/>
        </w:rPr>
        <w:t xml:space="preserve">Smjernice o pristupu informacijama i poslovnoj tajni </w:t>
      </w:r>
    </w:p>
    <w:p w14:paraId="342A82EA" w14:textId="77777777" w:rsidR="00042453" w:rsidRPr="002E5315" w:rsidRDefault="00042453" w:rsidP="000114BF">
      <w:pPr>
        <w:pStyle w:val="Odlomakpopisa"/>
        <w:numPr>
          <w:ilvl w:val="0"/>
          <w:numId w:val="13"/>
        </w:numPr>
        <w:ind w:left="709"/>
        <w:contextualSpacing/>
        <w:rPr>
          <w:rFonts w:ascii="Gill Sans MT" w:eastAsia="Malgun Gothic" w:hAnsi="Gill Sans MT"/>
          <w:sz w:val="23"/>
          <w:szCs w:val="23"/>
          <w:lang w:eastAsia="ko-KR"/>
        </w:rPr>
      </w:pPr>
      <w:r w:rsidRPr="002E5315">
        <w:rPr>
          <w:rFonts w:ascii="Gill Sans MT" w:eastAsia="Malgun Gothic" w:hAnsi="Gill Sans MT"/>
          <w:sz w:val="23"/>
          <w:szCs w:val="23"/>
          <w:lang w:eastAsia="ko-KR"/>
        </w:rPr>
        <w:t>Primjena članka 10. ZPPI – dodatna uputa (proaktivna objava informacija tijela javne vlasti koja nemaju službenu internetsku stranicu)</w:t>
      </w:r>
    </w:p>
    <w:p w14:paraId="5DED0F7E" w14:textId="77777777" w:rsidR="00042453" w:rsidRPr="002E5315" w:rsidRDefault="00042453" w:rsidP="000114BF">
      <w:pPr>
        <w:pStyle w:val="Odlomakpopisa"/>
        <w:numPr>
          <w:ilvl w:val="0"/>
          <w:numId w:val="13"/>
        </w:numPr>
        <w:ind w:left="709"/>
        <w:contextualSpacing/>
        <w:rPr>
          <w:rFonts w:ascii="Gill Sans MT" w:eastAsia="Malgun Gothic" w:hAnsi="Gill Sans MT"/>
          <w:sz w:val="23"/>
          <w:szCs w:val="23"/>
          <w:lang w:eastAsia="ko-KR"/>
        </w:rPr>
      </w:pPr>
      <w:r w:rsidRPr="002E5315">
        <w:rPr>
          <w:rFonts w:ascii="Gill Sans MT" w:eastAsia="Malgun Gothic" w:hAnsi="Gill Sans MT"/>
          <w:sz w:val="23"/>
          <w:szCs w:val="23"/>
          <w:lang w:eastAsia="ko-KR"/>
        </w:rPr>
        <w:t>Primjena članka 10. ZPPI – dodatna uputa (proaktivna objava zakona i ostalih propisa koji se odnose na područje rada tijela javne vlasti)</w:t>
      </w:r>
    </w:p>
    <w:p w14:paraId="6A782F5C" w14:textId="77777777" w:rsidR="00042453" w:rsidRPr="002E5315" w:rsidRDefault="00042453" w:rsidP="000114BF">
      <w:pPr>
        <w:pStyle w:val="Odlomakpopisa"/>
        <w:numPr>
          <w:ilvl w:val="0"/>
          <w:numId w:val="13"/>
        </w:numPr>
        <w:ind w:left="709"/>
        <w:contextualSpacing/>
        <w:rPr>
          <w:rFonts w:ascii="Gill Sans MT" w:eastAsia="Malgun Gothic" w:hAnsi="Gill Sans MT"/>
          <w:sz w:val="23"/>
          <w:szCs w:val="23"/>
          <w:lang w:eastAsia="ko-KR"/>
        </w:rPr>
      </w:pPr>
      <w:r w:rsidRPr="002E5315">
        <w:rPr>
          <w:rFonts w:ascii="Gill Sans MT" w:eastAsia="Malgun Gothic" w:hAnsi="Gill Sans MT"/>
          <w:sz w:val="23"/>
          <w:szCs w:val="23"/>
          <w:lang w:eastAsia="ko-KR"/>
        </w:rPr>
        <w:t xml:space="preserve">Dodatne smjernice za proaktivnu/pravovremenu objavu dnevnih redova sjednica i zaključaka / zapisnika te mogućnosti prisustvovanja na njima </w:t>
      </w:r>
    </w:p>
    <w:p w14:paraId="1FBDCD6B" w14:textId="77777777" w:rsidR="00042453" w:rsidRPr="002E5315" w:rsidRDefault="00042453" w:rsidP="000114BF">
      <w:pPr>
        <w:pStyle w:val="Odlomakpopisa"/>
        <w:numPr>
          <w:ilvl w:val="0"/>
          <w:numId w:val="13"/>
        </w:numPr>
        <w:ind w:left="709"/>
        <w:contextualSpacing/>
        <w:rPr>
          <w:rFonts w:ascii="Gill Sans MT" w:eastAsia="Malgun Gothic" w:hAnsi="Gill Sans MT"/>
          <w:sz w:val="23"/>
          <w:szCs w:val="23"/>
          <w:lang w:eastAsia="ko-KR"/>
        </w:rPr>
      </w:pPr>
      <w:r w:rsidRPr="002E5315">
        <w:rPr>
          <w:rFonts w:ascii="Gill Sans MT" w:eastAsia="Malgun Gothic" w:hAnsi="Gill Sans MT"/>
          <w:sz w:val="23"/>
          <w:szCs w:val="23"/>
          <w:lang w:eastAsia="ko-KR"/>
        </w:rPr>
        <w:t xml:space="preserve">Primjena članka 13. ZPPI – dodatna uputa (vanjsko pružanje usluga službenika za informiranje) </w:t>
      </w:r>
    </w:p>
    <w:p w14:paraId="4F7E320D" w14:textId="77777777" w:rsidR="00042453" w:rsidRPr="002E5315" w:rsidRDefault="00042453" w:rsidP="000114BF">
      <w:pPr>
        <w:pStyle w:val="Odlomakpopisa"/>
        <w:numPr>
          <w:ilvl w:val="0"/>
          <w:numId w:val="13"/>
        </w:numPr>
        <w:ind w:left="709"/>
        <w:contextualSpacing/>
        <w:rPr>
          <w:rFonts w:ascii="Gill Sans MT" w:eastAsia="Malgun Gothic" w:hAnsi="Gill Sans MT"/>
          <w:sz w:val="23"/>
          <w:szCs w:val="23"/>
          <w:lang w:eastAsia="ko-KR"/>
        </w:rPr>
      </w:pPr>
      <w:r w:rsidRPr="002E5315">
        <w:rPr>
          <w:rFonts w:ascii="Gill Sans MT" w:eastAsia="Malgun Gothic" w:hAnsi="Gill Sans MT"/>
          <w:sz w:val="23"/>
          <w:szCs w:val="23"/>
          <w:lang w:eastAsia="ko-KR"/>
        </w:rPr>
        <w:t>Smjernice za provedbu ZPPI: Ostvarivanje prava na pristup informacijama zastupnika i vijećnika u predstavničkim tijelima – dodatne smjernice.</w:t>
      </w:r>
    </w:p>
    <w:p w14:paraId="556DD1EE" w14:textId="3752EEB2" w:rsidR="0085052B" w:rsidRPr="002E5315" w:rsidRDefault="00042453" w:rsidP="00042453">
      <w:pPr>
        <w:rPr>
          <w:szCs w:val="23"/>
        </w:rPr>
      </w:pPr>
      <w:r w:rsidRPr="002E5315">
        <w:rPr>
          <w:rFonts w:eastAsia="Malgun Gothic"/>
          <w:szCs w:val="23"/>
          <w:lang w:eastAsia="ko-KR"/>
        </w:rPr>
        <w:t xml:space="preserve">Sve smjernice i upute, kao i ostali edukativni i promotivni sadržaji objavljeni su na internetskoj stranici Povjerenika, </w:t>
      </w:r>
      <w:r w:rsidRPr="002E5315">
        <w:rPr>
          <w:szCs w:val="23"/>
        </w:rPr>
        <w:t xml:space="preserve">na poveznici </w:t>
      </w:r>
      <w:hyperlink r:id="rId42" w:history="1">
        <w:r w:rsidRPr="002E5315">
          <w:rPr>
            <w:rStyle w:val="Hiperveza"/>
            <w:b w:val="0"/>
            <w:bCs w:val="0"/>
            <w:szCs w:val="23"/>
          </w:rPr>
          <w:t>https://www.pristupinfo.hr/pravni-okvir/upute-smjernice-obrasci/</w:t>
        </w:r>
      </w:hyperlink>
      <w:r w:rsidR="0085052B" w:rsidRPr="002E5315">
        <w:rPr>
          <w:b/>
          <w:bCs/>
          <w:szCs w:val="23"/>
        </w:rPr>
        <w:t>.</w:t>
      </w:r>
    </w:p>
    <w:p w14:paraId="711B7FAF" w14:textId="398A7CCA" w:rsidR="0085052B" w:rsidRPr="002E5315" w:rsidRDefault="0085052B" w:rsidP="0050490D">
      <w:pPr>
        <w:pStyle w:val="Naslov2"/>
      </w:pPr>
      <w:bookmarkStart w:id="120" w:name="_Toc36309007"/>
      <w:r w:rsidRPr="002E5315">
        <w:t>Suradnja i projekti</w:t>
      </w:r>
      <w:bookmarkEnd w:id="120"/>
    </w:p>
    <w:p w14:paraId="46FE4FD0" w14:textId="34B74D23" w:rsidR="0085052B" w:rsidRPr="002E5315" w:rsidRDefault="0085052B" w:rsidP="0050490D">
      <w:pPr>
        <w:pStyle w:val="Naslov3"/>
        <w:rPr>
          <w:lang w:eastAsia="ko-KR"/>
        </w:rPr>
      </w:pPr>
      <w:bookmarkStart w:id="121" w:name="_Toc36309008"/>
      <w:r w:rsidRPr="002E5315">
        <w:rPr>
          <w:lang w:eastAsia="ko-KR"/>
        </w:rPr>
        <w:t>Međuinstitucionalna suradnja</w:t>
      </w:r>
      <w:bookmarkEnd w:id="121"/>
    </w:p>
    <w:p w14:paraId="35737234" w14:textId="77777777" w:rsidR="00633D93" w:rsidRDefault="00042453" w:rsidP="00042453">
      <w:pPr>
        <w:rPr>
          <w:rFonts w:eastAsia="Malgun Gothic"/>
          <w:szCs w:val="23"/>
          <w:lang w:eastAsia="ko-KR"/>
        </w:rPr>
      </w:pPr>
      <w:r w:rsidRPr="002E5315">
        <w:rPr>
          <w:rFonts w:eastAsia="Malgun Gothic"/>
          <w:szCs w:val="23"/>
          <w:lang w:eastAsia="ko-KR"/>
        </w:rPr>
        <w:t>Povjerenik i njegov Ured redovito surađuju s tijelima državne uprave i drugim državnim tijelima</w:t>
      </w:r>
      <w:r w:rsidR="00633D93">
        <w:rPr>
          <w:rFonts w:eastAsia="Malgun Gothic"/>
          <w:szCs w:val="23"/>
          <w:lang w:eastAsia="ko-KR"/>
        </w:rPr>
        <w:t>.</w:t>
      </w:r>
    </w:p>
    <w:p w14:paraId="527C9199" w14:textId="2F7EFB17" w:rsidR="00042453" w:rsidRPr="002E5315" w:rsidRDefault="00042453" w:rsidP="00042453">
      <w:pPr>
        <w:rPr>
          <w:rFonts w:eastAsia="Malgun Gothic"/>
          <w:szCs w:val="23"/>
          <w:lang w:eastAsia="ko-KR"/>
        </w:rPr>
      </w:pPr>
      <w:r w:rsidRPr="002E5315">
        <w:rPr>
          <w:rFonts w:eastAsia="Malgun Gothic"/>
          <w:szCs w:val="23"/>
          <w:lang w:eastAsia="ko-KR"/>
        </w:rPr>
        <w:t>Najintenzivnija suradnja ostvaruje se u okviru nastojanja za postizanjem pravilne i usuglašene primjene pojedinih odredbi Zakona i provedbi mjera i aktivnosti iz pojedinih nacionalnih strateških dokumenata. Izdvajamo suradnju s AZOP-om, koja se u 2019. odnosila na usklađivanje i pružanje stručne podrške tijelima koja su se suočila s nedoumicama u odnosu na primjenu Opće uredbe o zaštiti podataka u Republici Hrvatskoj.</w:t>
      </w:r>
    </w:p>
    <w:p w14:paraId="0FEA7AA5" w14:textId="77777777" w:rsidR="00042453" w:rsidRPr="002E5315" w:rsidRDefault="00042453" w:rsidP="00042453">
      <w:pPr>
        <w:rPr>
          <w:rFonts w:eastAsia="Malgun Gothic"/>
          <w:szCs w:val="23"/>
          <w:lang w:eastAsia="ko-KR"/>
        </w:rPr>
      </w:pPr>
      <w:r w:rsidRPr="002E5315">
        <w:rPr>
          <w:rFonts w:eastAsia="Malgun Gothic"/>
          <w:szCs w:val="23"/>
          <w:lang w:eastAsia="ko-KR"/>
        </w:rPr>
        <w:t>S Uredom za zakonodavstvo Vlade RH intenzivno se surađivalo u pružanju pomoći u nadzoru postupanja tijela kod provedbe savjetovanja s javnošću pri donošenju zakonskih i podzakonskih akata, kao i s Uredom za udruge Vlade RH, s kojim postoji usustavljena i trajna suradnja u vezi s održavanjem edukacija o savjetovanjima s javnošću.</w:t>
      </w:r>
    </w:p>
    <w:p w14:paraId="316FBA2C" w14:textId="16CCFB4C" w:rsidR="00042453" w:rsidRPr="002E5315" w:rsidRDefault="00042453" w:rsidP="00042453">
      <w:pPr>
        <w:rPr>
          <w:rFonts w:eastAsia="Malgun Gothic"/>
          <w:szCs w:val="23"/>
          <w:lang w:eastAsia="ko-KR"/>
        </w:rPr>
      </w:pPr>
      <w:r w:rsidRPr="002E5315">
        <w:rPr>
          <w:rFonts w:eastAsia="Malgun Gothic"/>
          <w:szCs w:val="23"/>
          <w:lang w:eastAsia="ko-KR"/>
        </w:rPr>
        <w:t>Uz višegodišnju suradnju s DŠJU na provedbi edukacija o pravu na pristup informacijama i ponovnoj uporabi informacija na nacionalnoj i lokalnoj razini, izdvajamo i suradnju sa SDURDD-om, s kojim se intenzivno surađuje u zauzimanju stajališta u odnosu na novu Direktiv</w:t>
      </w:r>
      <w:r w:rsidR="000E15A5">
        <w:rPr>
          <w:rFonts w:eastAsia="Malgun Gothic"/>
          <w:szCs w:val="23"/>
          <w:lang w:eastAsia="ko-KR"/>
        </w:rPr>
        <w:t>u</w:t>
      </w:r>
      <w:r w:rsidRPr="002E5315">
        <w:rPr>
          <w:rFonts w:eastAsiaTheme="minorHAnsi" w:cstheme="minorBidi"/>
          <w:szCs w:val="23"/>
          <w:lang w:eastAsia="en-US"/>
        </w:rPr>
        <w:t xml:space="preserve"> o otvorenim podacima i ponovnoj uporabi informacija javnog sektora</w:t>
      </w:r>
      <w:r w:rsidRPr="002E5315">
        <w:rPr>
          <w:rFonts w:eastAsia="Malgun Gothic"/>
          <w:szCs w:val="23"/>
          <w:lang w:eastAsia="ko-KR"/>
        </w:rPr>
        <w:t xml:space="preserve"> i na području razvoja mehanizama praćenja, primjene i educiranja o provedbi Zakona o pristupačnosti</w:t>
      </w:r>
      <w:r w:rsidR="00954DB8" w:rsidRPr="002E5315">
        <w:rPr>
          <w:rFonts w:eastAsia="Malgun Gothic"/>
          <w:szCs w:val="23"/>
          <w:lang w:eastAsia="ko-KR"/>
        </w:rPr>
        <w:t xml:space="preserve"> </w:t>
      </w:r>
      <w:r w:rsidRPr="002E5315">
        <w:rPr>
          <w:rFonts w:eastAsia="Malgun Gothic"/>
          <w:szCs w:val="23"/>
          <w:lang w:eastAsia="ko-KR"/>
        </w:rPr>
        <w:t>mrežnih stranica i programskih rješenja za pokretne uređaje tijela javnog sektora.</w:t>
      </w:r>
    </w:p>
    <w:p w14:paraId="26460699" w14:textId="58444C63" w:rsidR="00042453" w:rsidRPr="002E5315" w:rsidRDefault="00042453" w:rsidP="00042453">
      <w:pPr>
        <w:rPr>
          <w:rFonts w:eastAsia="Malgun Gothic"/>
          <w:strike/>
          <w:szCs w:val="23"/>
          <w:lang w:eastAsia="ko-KR"/>
        </w:rPr>
      </w:pPr>
      <w:r w:rsidRPr="002E5315">
        <w:rPr>
          <w:rFonts w:eastAsia="Malgun Gothic"/>
          <w:szCs w:val="23"/>
          <w:lang w:eastAsia="ko-KR"/>
        </w:rPr>
        <w:t>Povjerenik redovito sudjeluje u radu savjeta i koordinacija za izradu i provedbu strateških dokumenata i pratećih akcijskih planova. S Ministarstvom pravosuđa kontinuirano se surađuje vezano uz provedbu i izvještavanje o provedbi Akcijskog plana za 2019. i 2020. uz Strategiju suzbijanja korupcije 2015.-2020., ali i vezano za provedbu preporuka GRECO-a (Skupina država protiv korupcije Vijeća Europe) u okviru V. evaluacijskog kruga.</w:t>
      </w:r>
    </w:p>
    <w:p w14:paraId="6777E289" w14:textId="77777777" w:rsidR="00042453" w:rsidRPr="002E5315" w:rsidRDefault="00042453" w:rsidP="00042453">
      <w:pPr>
        <w:rPr>
          <w:rFonts w:eastAsia="Malgun Gothic"/>
          <w:szCs w:val="23"/>
          <w:lang w:eastAsia="ko-KR"/>
        </w:rPr>
      </w:pPr>
      <w:r w:rsidRPr="002E5315">
        <w:rPr>
          <w:rFonts w:eastAsia="Malgun Gothic"/>
          <w:szCs w:val="23"/>
          <w:lang w:eastAsia="ko-KR"/>
        </w:rPr>
        <w:t>S Uredom za udruge Vlade RH u kontinuitetu se surađuje i na provedbi i izvještavanju o provedbi Akcijskog plana za provedbu inicijative Partnerstvo za otvorenu vlast za razdoblje do 2020., kao i s tijelima koja predsjedavaju koordinacijama na provedbi zajedničkih aktivnosti.</w:t>
      </w:r>
    </w:p>
    <w:p w14:paraId="7D3AA27E" w14:textId="4F334B81" w:rsidR="00042453" w:rsidRPr="002E5315" w:rsidRDefault="00042453" w:rsidP="00042453">
      <w:pPr>
        <w:rPr>
          <w:rFonts w:eastAsia="Malgun Gothic"/>
          <w:szCs w:val="23"/>
          <w:lang w:eastAsia="ko-KR"/>
        </w:rPr>
      </w:pPr>
      <w:r w:rsidRPr="002E5315">
        <w:rPr>
          <w:rFonts w:eastAsia="Malgun Gothic"/>
          <w:szCs w:val="23"/>
          <w:lang w:eastAsia="ko-KR"/>
        </w:rPr>
        <w:t>Kad je riječ o ciljevima održivog razvoja UN-a (Sustainable Development Goals), pod brojem 16.10.2. u okviru kojega se prikupljaju podaci o nacionalnim kontekstima</w:t>
      </w:r>
      <w:r w:rsidR="00954DB8" w:rsidRPr="002E5315">
        <w:rPr>
          <w:rFonts w:eastAsia="Malgun Gothic"/>
          <w:szCs w:val="23"/>
          <w:lang w:eastAsia="ko-KR"/>
        </w:rPr>
        <w:t xml:space="preserve"> </w:t>
      </w:r>
      <w:r w:rsidRPr="002E5315">
        <w:rPr>
          <w:rFonts w:eastAsia="Malgun Gothic"/>
          <w:szCs w:val="23"/>
          <w:lang w:eastAsia="ko-KR"/>
        </w:rPr>
        <w:t>za ostvarivanje prava na pristup informacijama, s misijom UNESCO-a pri Ministarstvu kulture surađivalo</w:t>
      </w:r>
      <w:r w:rsidR="00954DB8" w:rsidRPr="002E5315">
        <w:rPr>
          <w:rFonts w:eastAsia="Malgun Gothic"/>
          <w:szCs w:val="23"/>
          <w:lang w:eastAsia="ko-KR"/>
        </w:rPr>
        <w:t xml:space="preserve"> </w:t>
      </w:r>
      <w:r w:rsidRPr="002E5315">
        <w:rPr>
          <w:rFonts w:eastAsia="Malgun Gothic"/>
          <w:szCs w:val="23"/>
          <w:lang w:eastAsia="ko-KR"/>
        </w:rPr>
        <w:t>se pri izradi izvješća o predmetnom upitniku.</w:t>
      </w:r>
    </w:p>
    <w:p w14:paraId="4D78BE39" w14:textId="3FAA800E" w:rsidR="00042453" w:rsidRPr="002E5315" w:rsidRDefault="00042453" w:rsidP="00042453">
      <w:pPr>
        <w:rPr>
          <w:rFonts w:eastAsia="Malgun Gothic"/>
          <w:szCs w:val="23"/>
          <w:lang w:eastAsia="ko-KR"/>
        </w:rPr>
      </w:pPr>
      <w:r w:rsidRPr="002E5315">
        <w:rPr>
          <w:rFonts w:eastAsia="Malgun Gothic"/>
          <w:szCs w:val="23"/>
          <w:lang w:eastAsia="ko-KR"/>
        </w:rPr>
        <w:t>Povrh navedenog, Povjerenik je sudjelovao i u radu tematskih sjednica Nacionalnog vijeća za praćenje provedbe Strategije za suzbijanje korupcije Hrvatskoga sabora</w:t>
      </w:r>
      <w:r w:rsidR="008D5DEA" w:rsidRPr="002E5315">
        <w:rPr>
          <w:rFonts w:eastAsia="Malgun Gothic"/>
          <w:szCs w:val="23"/>
          <w:lang w:eastAsia="ko-KR"/>
        </w:rPr>
        <w:t>.</w:t>
      </w:r>
    </w:p>
    <w:p w14:paraId="2C2673B0" w14:textId="4AB5236C" w:rsidR="00042453" w:rsidRPr="002E5315" w:rsidRDefault="00042453" w:rsidP="00042453">
      <w:pPr>
        <w:rPr>
          <w:rFonts w:eastAsia="Malgun Gothic"/>
          <w:szCs w:val="23"/>
          <w:lang w:eastAsia="ko-KR"/>
        </w:rPr>
      </w:pPr>
      <w:r w:rsidRPr="002E5315">
        <w:rPr>
          <w:rFonts w:eastAsia="Malgun Gothic"/>
          <w:szCs w:val="23"/>
          <w:lang w:eastAsia="ko-KR"/>
        </w:rPr>
        <w:t>U okviru navedenih strateških dokumenata i njihovih akcijskih planova, pravo na pristup informacijama, ponovna uporaba informacija te savjetovanja s javnošću identificirani su kao ključni instrumenti za postizanje transparentnosti i otvorenosti javne vlasti i uprave, suzbijanje korupcije, zaštitu ljudskih prava te reformu i digitalizaciju javne uprave. Sve preuzete obveze kojih je Povjerenik</w:t>
      </w:r>
      <w:r w:rsidR="00954DB8" w:rsidRPr="002E5315">
        <w:rPr>
          <w:rFonts w:eastAsia="Malgun Gothic"/>
          <w:szCs w:val="23"/>
          <w:lang w:eastAsia="ko-KR"/>
        </w:rPr>
        <w:t xml:space="preserve"> </w:t>
      </w:r>
      <w:r w:rsidRPr="002E5315">
        <w:rPr>
          <w:rFonts w:eastAsia="Malgun Gothic"/>
          <w:szCs w:val="23"/>
          <w:lang w:eastAsia="ko-KR"/>
        </w:rPr>
        <w:t>nositelj u Akcijskom planu za 2019. i 2020. uz Strategiju suzbijanja korupcije (8) i onih gdje je sunositelj provedbe s drugim tijelima (7)</w:t>
      </w:r>
      <w:r w:rsidR="00954DB8" w:rsidRPr="002E5315">
        <w:rPr>
          <w:rFonts w:eastAsia="Malgun Gothic"/>
          <w:szCs w:val="23"/>
          <w:lang w:eastAsia="ko-KR"/>
        </w:rPr>
        <w:t xml:space="preserve"> </w:t>
      </w:r>
      <w:r w:rsidRPr="002E5315">
        <w:rPr>
          <w:rFonts w:eastAsia="Malgun Gothic"/>
          <w:szCs w:val="23"/>
          <w:lang w:eastAsia="ko-KR"/>
        </w:rPr>
        <w:t>su ili ispunjene ili u visokoj fazi dovršenosti.</w:t>
      </w:r>
    </w:p>
    <w:p w14:paraId="5A30FEC1" w14:textId="77777777" w:rsidR="00042453" w:rsidRPr="002E5315" w:rsidRDefault="00042453" w:rsidP="00042453">
      <w:pPr>
        <w:rPr>
          <w:rFonts w:eastAsia="Malgun Gothic"/>
          <w:szCs w:val="23"/>
          <w:lang w:eastAsia="ko-KR"/>
        </w:rPr>
      </w:pPr>
      <w:r w:rsidRPr="002E5315">
        <w:rPr>
          <w:rFonts w:eastAsia="Malgun Gothic"/>
          <w:szCs w:val="23"/>
          <w:lang w:eastAsia="ko-KR"/>
        </w:rPr>
        <w:t>Isto se odnosi i na aktivnosti iz Akcijskog plana provedbu inicijative Partnerstvo za otvorenu vlast za razdoblje do 2020. kojih je Povjerenik nositelj (7) ili pak sunositelj (9), a koje uključuju čitav niz indikatora ispunjenja.</w:t>
      </w:r>
    </w:p>
    <w:p w14:paraId="24AA0775" w14:textId="0AFF65E4" w:rsidR="00042453" w:rsidRPr="002E5315" w:rsidRDefault="00042453" w:rsidP="00042453">
      <w:pPr>
        <w:rPr>
          <w:rFonts w:eastAsia="Malgun Gothic"/>
          <w:szCs w:val="23"/>
          <w:lang w:eastAsia="ko-KR"/>
        </w:rPr>
      </w:pPr>
      <w:r w:rsidRPr="002E5315">
        <w:rPr>
          <w:rFonts w:eastAsia="Malgun Gothic"/>
          <w:szCs w:val="23"/>
          <w:lang w:eastAsia="ko-KR"/>
        </w:rPr>
        <w:t>Suradnja s jedinicama na lokalnoj razini odvijala se je ponajviše kroz edukativne aktivnosti, u suradnji s DŠJU.</w:t>
      </w:r>
    </w:p>
    <w:p w14:paraId="29ECE913" w14:textId="02F49647" w:rsidR="00042453" w:rsidRPr="002E5315" w:rsidRDefault="00042453" w:rsidP="00042453">
      <w:pPr>
        <w:rPr>
          <w:rFonts w:eastAsia="Malgun Gothic"/>
          <w:szCs w:val="23"/>
          <w:lang w:eastAsia="ko-KR"/>
        </w:rPr>
      </w:pPr>
      <w:r w:rsidRPr="002E5315">
        <w:rPr>
          <w:rFonts w:eastAsia="Malgun Gothic"/>
          <w:szCs w:val="23"/>
          <w:lang w:eastAsia="ko-KR"/>
        </w:rPr>
        <w:t>Povjerenik je sudjelovao davanjem mišljenja ili pojašnjenja na sljedeće propise i dokumente:</w:t>
      </w:r>
    </w:p>
    <w:p w14:paraId="00B64204" w14:textId="312743CA" w:rsidR="00042453" w:rsidRPr="002E5315" w:rsidRDefault="00042453" w:rsidP="000114BF">
      <w:pPr>
        <w:pStyle w:val="Odlomakpopisa"/>
        <w:numPr>
          <w:ilvl w:val="0"/>
          <w:numId w:val="19"/>
        </w:numPr>
        <w:rPr>
          <w:rFonts w:ascii="Gill Sans MT" w:eastAsia="Malgun Gothic" w:hAnsi="Gill Sans MT"/>
          <w:sz w:val="23"/>
          <w:szCs w:val="23"/>
          <w:lang w:eastAsia="ko-KR"/>
        </w:rPr>
      </w:pPr>
      <w:r w:rsidRPr="002E5315">
        <w:rPr>
          <w:rFonts w:ascii="Gill Sans MT" w:eastAsia="Malgun Gothic" w:hAnsi="Gill Sans MT"/>
          <w:sz w:val="23"/>
          <w:szCs w:val="23"/>
          <w:lang w:eastAsia="ko-KR"/>
        </w:rPr>
        <w:t>Prijedlog Zakona o meteorološkoj i hidrološkoj djelatnosti, kojeg je dostavio Državni hidrometeorološki zavod te je Povjerenik podržao donošenje zakona kojim se, pored ostalog, detaljnije regulira dostupnost meteoroloških i hidroloških podataka za ponovnu uporabu informacija</w:t>
      </w:r>
    </w:p>
    <w:p w14:paraId="6B0F4B33" w14:textId="77777777" w:rsidR="00042453" w:rsidRPr="002E5315" w:rsidRDefault="00042453" w:rsidP="000114BF">
      <w:pPr>
        <w:pStyle w:val="Odlomakpopisa"/>
        <w:numPr>
          <w:ilvl w:val="0"/>
          <w:numId w:val="19"/>
        </w:numPr>
        <w:rPr>
          <w:rFonts w:ascii="Gill Sans MT" w:eastAsia="Malgun Gothic" w:hAnsi="Gill Sans MT"/>
          <w:sz w:val="23"/>
          <w:szCs w:val="23"/>
          <w:lang w:eastAsia="ko-KR"/>
        </w:rPr>
      </w:pPr>
      <w:r w:rsidRPr="002E5315">
        <w:rPr>
          <w:rFonts w:ascii="Gill Sans MT" w:eastAsia="Malgun Gothic" w:hAnsi="Gill Sans MT"/>
          <w:sz w:val="23"/>
          <w:szCs w:val="23"/>
          <w:lang w:eastAsia="ko-KR"/>
        </w:rPr>
        <w:t>Prijedlog Odluke Vlade RH o davanju ovlasti Središnjem državnom uredu za središnju javnu nabavu (dalje: Središnji ured) za provedbu postupka središnje javne nabave za javne naručitelje koji nisu obuhvaćeni člankom 12. stavkom 1. Uredbe o unutarnjem ustrojstvu Središnjeg ureda, koju je dostavio Središnji ured. Povjerenik je podržao proširivanje javnih naručitelja koji nisu obuhvaćeni člankom 12. stavkom 1. navedene Uredbe za provedbu postupka objedinjene javne nabave putem Središnjeg ureda, jer se na taj način postiže ušteda i racionalnije korištenje proračunskih sredstava</w:t>
      </w:r>
    </w:p>
    <w:p w14:paraId="44C4C2C3" w14:textId="77777777" w:rsidR="00042453" w:rsidRPr="002E5315" w:rsidRDefault="00042453" w:rsidP="000114BF">
      <w:pPr>
        <w:pStyle w:val="Odlomakpopisa"/>
        <w:numPr>
          <w:ilvl w:val="0"/>
          <w:numId w:val="19"/>
        </w:numPr>
        <w:rPr>
          <w:rFonts w:ascii="Gill Sans MT" w:eastAsia="Malgun Gothic" w:hAnsi="Gill Sans MT"/>
          <w:sz w:val="23"/>
          <w:szCs w:val="23"/>
          <w:lang w:eastAsia="ko-KR"/>
        </w:rPr>
      </w:pPr>
      <w:r w:rsidRPr="002E5315">
        <w:rPr>
          <w:rFonts w:ascii="Gill Sans MT" w:eastAsia="Malgun Gothic" w:hAnsi="Gill Sans MT"/>
          <w:sz w:val="23"/>
          <w:szCs w:val="23"/>
          <w:lang w:eastAsia="ko-KR"/>
        </w:rPr>
        <w:t>Prijedlog Pravilnika o stvarnim troškovima izdavanja javnih isprava i uvjetima za ponovnu uporabu podataka Državne geodetske uprave (dalje: DGU), koji se dijelom odnosio i na uvjete za ponovnu uporabu, raspravljen je na sastancima s DGU-om i pojašnjena je potreba jasnog razgraničenja i konkretiziranja informacija koje mogu biti predmetom ponovne uporabe od izdavanja „podataka“, odnosno isprava iz registara</w:t>
      </w:r>
    </w:p>
    <w:p w14:paraId="59EEBE15" w14:textId="77777777" w:rsidR="00042453" w:rsidRPr="002E5315" w:rsidRDefault="00042453" w:rsidP="000114BF">
      <w:pPr>
        <w:pStyle w:val="Odlomakpopisa"/>
        <w:numPr>
          <w:ilvl w:val="0"/>
          <w:numId w:val="21"/>
        </w:numPr>
        <w:rPr>
          <w:rFonts w:ascii="Gill Sans MT" w:eastAsia="Malgun Gothic" w:hAnsi="Gill Sans MT"/>
          <w:sz w:val="23"/>
          <w:szCs w:val="23"/>
          <w:lang w:eastAsia="ko-KR"/>
        </w:rPr>
      </w:pPr>
      <w:r w:rsidRPr="002E5315">
        <w:rPr>
          <w:rFonts w:ascii="Gill Sans MT" w:hAnsi="Gill Sans MT"/>
          <w:bCs/>
          <w:iCs/>
          <w:sz w:val="23"/>
          <w:szCs w:val="23"/>
        </w:rPr>
        <w:t>Prijedlog Odluke o visini stvarnih troškova ponovne uporabe podataka</w:t>
      </w:r>
      <w:r w:rsidRPr="002E5315">
        <w:rPr>
          <w:rFonts w:ascii="Gill Sans MT" w:eastAsia="Malgun Gothic" w:hAnsi="Gill Sans MT"/>
          <w:sz w:val="23"/>
          <w:szCs w:val="23"/>
          <w:lang w:eastAsia="ko-KR"/>
        </w:rPr>
        <w:t xml:space="preserve"> DGU-a, pri čemu je ukazano da se ista donosi na temelju propisa o pravu na pristup informacijama te na sadržajno usklađivanje Odluke sa ZPPI-jem i Uredbom o troškovima ponovne uporabe informacija</w:t>
      </w:r>
    </w:p>
    <w:p w14:paraId="0D82458C" w14:textId="10BA165F" w:rsidR="0085052B" w:rsidRPr="002E5315" w:rsidRDefault="00042453" w:rsidP="000114BF">
      <w:pPr>
        <w:pStyle w:val="Odlomakpopisa"/>
        <w:numPr>
          <w:ilvl w:val="0"/>
          <w:numId w:val="21"/>
        </w:numPr>
        <w:rPr>
          <w:rFonts w:ascii="Gill Sans MT" w:eastAsia="Malgun Gothic" w:hAnsi="Gill Sans MT"/>
          <w:sz w:val="23"/>
          <w:szCs w:val="23"/>
          <w:lang w:eastAsia="ko-KR"/>
        </w:rPr>
      </w:pPr>
      <w:r w:rsidRPr="002E5315">
        <w:rPr>
          <w:rFonts w:ascii="Gill Sans MT" w:eastAsia="Malgun Gothic" w:hAnsi="Gill Sans MT"/>
          <w:sz w:val="23"/>
          <w:szCs w:val="23"/>
          <w:lang w:eastAsia="ko-KR"/>
        </w:rPr>
        <w:t>Prijedlog Pravilnika o načinu upisa u sudski registar Ministarstva pravosuđa, u kojem slučaju je, s obzirom na mogućnost ponovne uporabe informacija, pojašnjena svrha ponovne uporabe i značaja baza podataka i registara iz djelokruga tijela za olakšavanje pristupa informacijama</w:t>
      </w:r>
      <w:r w:rsidRPr="002E5315">
        <w:rPr>
          <w:rFonts w:ascii="Gill Sans MT" w:eastAsia="Malgun Gothic" w:hAnsi="Gill Sans MT"/>
          <w:szCs w:val="22"/>
          <w:lang w:eastAsia="ko-KR"/>
        </w:rPr>
        <w:t>.</w:t>
      </w:r>
    </w:p>
    <w:p w14:paraId="59B2C8A0" w14:textId="48667F89" w:rsidR="0085052B" w:rsidRPr="002E5315" w:rsidRDefault="0085052B" w:rsidP="0050490D">
      <w:pPr>
        <w:pStyle w:val="Naslov3"/>
        <w:rPr>
          <w:lang w:eastAsia="ko-KR"/>
        </w:rPr>
      </w:pPr>
      <w:bookmarkStart w:id="122" w:name="_Toc36309009"/>
      <w:r w:rsidRPr="002E5315">
        <w:rPr>
          <w:lang w:eastAsia="ko-KR"/>
        </w:rPr>
        <w:t>Međunarodna suradnja i projekti</w:t>
      </w:r>
      <w:bookmarkEnd w:id="122"/>
    </w:p>
    <w:p w14:paraId="4E341BB2" w14:textId="77777777" w:rsidR="00916CF2" w:rsidRPr="00916CF2" w:rsidRDefault="00042453" w:rsidP="000114BF">
      <w:pPr>
        <w:pStyle w:val="Odlomakpopisa"/>
        <w:numPr>
          <w:ilvl w:val="0"/>
          <w:numId w:val="9"/>
        </w:numPr>
        <w:ind w:left="284"/>
        <w:rPr>
          <w:rFonts w:ascii="Gill Sans MT" w:eastAsia="Malgun Gothic" w:hAnsi="Gill Sans MT"/>
          <w:i/>
          <w:sz w:val="23"/>
          <w:szCs w:val="23"/>
        </w:rPr>
      </w:pPr>
      <w:r w:rsidRPr="002E5315">
        <w:rPr>
          <w:rFonts w:ascii="Gill Sans MT" w:eastAsia="Malgun Gothic" w:hAnsi="Gill Sans MT"/>
          <w:sz w:val="23"/>
          <w:szCs w:val="23"/>
        </w:rPr>
        <w:t xml:space="preserve">U okviru suradnje s radnim skupinama, Povjerenik je nastavio s radom u Radnoj skupini Europske komisije za podatke javnog sektora (PSI – </w:t>
      </w:r>
      <w:r w:rsidRPr="002E5315">
        <w:rPr>
          <w:rFonts w:ascii="Gill Sans MT" w:eastAsia="Malgun Gothic" w:hAnsi="Gill Sans MT"/>
          <w:i/>
          <w:sz w:val="23"/>
          <w:szCs w:val="23"/>
        </w:rPr>
        <w:t>Public Sector Information</w:t>
      </w:r>
      <w:r w:rsidRPr="002E5315">
        <w:rPr>
          <w:rFonts w:ascii="Gill Sans MT" w:eastAsia="Malgun Gothic" w:hAnsi="Gill Sans MT"/>
          <w:sz w:val="23"/>
          <w:szCs w:val="23"/>
        </w:rPr>
        <w:t>), koja je stručno savjetodavno tijelo Europske komisije za područje ponovne uporabe informacija, na čijem je</w:t>
      </w:r>
      <w:r w:rsidR="00954DB8" w:rsidRPr="002E5315">
        <w:rPr>
          <w:rFonts w:ascii="Gill Sans MT" w:eastAsia="Malgun Gothic" w:hAnsi="Gill Sans MT"/>
          <w:sz w:val="23"/>
          <w:szCs w:val="23"/>
        </w:rPr>
        <w:t xml:space="preserve"> </w:t>
      </w:r>
      <w:r w:rsidRPr="002E5315">
        <w:rPr>
          <w:rFonts w:ascii="Gill Sans MT" w:eastAsia="Malgun Gothic" w:hAnsi="Gill Sans MT"/>
          <w:sz w:val="23"/>
          <w:szCs w:val="23"/>
        </w:rPr>
        <w:t>sastanku sudjelov</w:t>
      </w:r>
      <w:r w:rsidR="00916CF2">
        <w:rPr>
          <w:rFonts w:ascii="Gill Sans MT" w:eastAsia="Malgun Gothic" w:hAnsi="Gill Sans MT"/>
          <w:sz w:val="23"/>
          <w:szCs w:val="23"/>
        </w:rPr>
        <w:t>a</w:t>
      </w:r>
      <w:r w:rsidRPr="002E5315">
        <w:rPr>
          <w:rFonts w:ascii="Gill Sans MT" w:eastAsia="Malgun Gothic" w:hAnsi="Gill Sans MT"/>
          <w:sz w:val="23"/>
          <w:szCs w:val="23"/>
        </w:rPr>
        <w:t>o predstavnik Ureda povjerenika. Tijekom 2019., sa SDURDD-om, nastavljena je suradnja u postupku revizije PSI Direktive i usuglašavanju novog teksta OD Direktive, koja je stupila na snagu u srpnju 2019.</w:t>
      </w:r>
    </w:p>
    <w:p w14:paraId="24D97F40" w14:textId="692F148C" w:rsidR="00042453" w:rsidRPr="002E5315" w:rsidRDefault="00042453" w:rsidP="000114BF">
      <w:pPr>
        <w:pStyle w:val="Odlomakpopisa"/>
        <w:numPr>
          <w:ilvl w:val="0"/>
          <w:numId w:val="9"/>
        </w:numPr>
        <w:ind w:left="284"/>
        <w:rPr>
          <w:rFonts w:ascii="Gill Sans MT" w:eastAsia="Malgun Gothic" w:hAnsi="Gill Sans MT"/>
          <w:i/>
          <w:sz w:val="23"/>
          <w:szCs w:val="23"/>
        </w:rPr>
      </w:pPr>
      <w:r w:rsidRPr="002E5315">
        <w:rPr>
          <w:rFonts w:ascii="Gill Sans MT" w:eastAsia="Malgun Gothic" w:hAnsi="Gill Sans MT"/>
          <w:sz w:val="23"/>
          <w:szCs w:val="23"/>
        </w:rPr>
        <w:t>U okviru studijskog posjeta delegacije Kancelarije za suradnju s civilnim društvom Vlade Republike Srbije, Ured povjerenika sudjelovao je u prezentiranju postignutih standarda postupanja u segmentu savjetovanja s javnošću, s osvrtom na nadzornu ulogu u ostvarivanju mehanizma sudjelovanja u procesu donošenja odluka</w:t>
      </w:r>
    </w:p>
    <w:p w14:paraId="46F38C26" w14:textId="433819FB" w:rsidR="00042453" w:rsidRPr="002E5315" w:rsidRDefault="00042453" w:rsidP="000114BF">
      <w:pPr>
        <w:pStyle w:val="Odlomakpopisa"/>
        <w:numPr>
          <w:ilvl w:val="0"/>
          <w:numId w:val="9"/>
        </w:numPr>
        <w:ind w:left="284"/>
        <w:rPr>
          <w:rFonts w:ascii="Gill Sans MT" w:eastAsia="Malgun Gothic" w:hAnsi="Gill Sans MT"/>
          <w:i/>
          <w:sz w:val="23"/>
          <w:szCs w:val="23"/>
        </w:rPr>
      </w:pPr>
      <w:r w:rsidRPr="002E5315">
        <w:rPr>
          <w:rFonts w:ascii="Gill Sans MT" w:hAnsi="Gill Sans MT" w:cs="Arial"/>
          <w:sz w:val="23"/>
          <w:szCs w:val="23"/>
        </w:rPr>
        <w:t>U okviru studijske posjete delegacije</w:t>
      </w:r>
      <w:r w:rsidR="00954DB8" w:rsidRPr="002E5315">
        <w:rPr>
          <w:rFonts w:ascii="Gill Sans MT" w:hAnsi="Gill Sans MT" w:cs="Arial"/>
          <w:sz w:val="23"/>
          <w:szCs w:val="23"/>
        </w:rPr>
        <w:t xml:space="preserve"> </w:t>
      </w:r>
      <w:r w:rsidRPr="002E5315">
        <w:rPr>
          <w:rFonts w:ascii="Gill Sans MT" w:hAnsi="Gill Sans MT" w:cs="Arial"/>
          <w:sz w:val="23"/>
          <w:szCs w:val="23"/>
        </w:rPr>
        <w:t>organizacija civilnog društva i ministarstava Turske Republici Hrvatskoj na kojem je sudjelovao predstavnik Ureda povjerenika, održano je predavanje o pristupu okolišnim informacijama i provedbi savjetovanja s javnošću</w:t>
      </w:r>
    </w:p>
    <w:p w14:paraId="085455BD" w14:textId="4B51437B" w:rsidR="00042453" w:rsidRPr="002E5315" w:rsidRDefault="00042453" w:rsidP="000114BF">
      <w:pPr>
        <w:pStyle w:val="Odlomakpopisa"/>
        <w:numPr>
          <w:ilvl w:val="0"/>
          <w:numId w:val="9"/>
        </w:numPr>
        <w:ind w:left="284"/>
        <w:rPr>
          <w:rFonts w:ascii="Gill Sans MT" w:eastAsia="Malgun Gothic" w:hAnsi="Gill Sans MT"/>
          <w:iCs/>
          <w:sz w:val="23"/>
          <w:szCs w:val="23"/>
        </w:rPr>
      </w:pPr>
      <w:r w:rsidRPr="002E5315">
        <w:rPr>
          <w:rFonts w:ascii="Gill Sans MT" w:eastAsia="Malgun Gothic" w:hAnsi="Gill Sans MT"/>
          <w:sz w:val="23"/>
          <w:szCs w:val="23"/>
        </w:rPr>
        <w:t>Suradnja Povjerenika i Agencije za zaštitu ličnih podataka i slobodan pristup informacijama Crne Gore nastavljena je i nakon završetka Twinnig Light projekta održavanjem bilateralne suradnje i sudjelovanjem delegacije Agencije na Godišnjem savjetovanju službenika za informiranje, gdje su na panelima podijelili iskustva u postupanju na području slobodnog pristupa informacijama u Crnoj Gori</w:t>
      </w:r>
    </w:p>
    <w:p w14:paraId="2669F586" w14:textId="7FC2C7CE" w:rsidR="00042453" w:rsidRPr="002E5315" w:rsidRDefault="00042453" w:rsidP="00042453">
      <w:pPr>
        <w:pStyle w:val="Odlomakpopisa"/>
        <w:ind w:left="284"/>
        <w:rPr>
          <w:rFonts w:ascii="Gill Sans MT" w:eastAsia="Malgun Gothic" w:hAnsi="Gill Sans MT"/>
          <w:sz w:val="23"/>
          <w:szCs w:val="23"/>
        </w:rPr>
      </w:pPr>
      <w:r w:rsidRPr="002E5315">
        <w:rPr>
          <w:rFonts w:ascii="Gill Sans MT" w:eastAsia="Malgun Gothic" w:hAnsi="Gill Sans MT"/>
          <w:sz w:val="23"/>
          <w:szCs w:val="23"/>
        </w:rPr>
        <w:t>U veljači 20</w:t>
      </w:r>
      <w:r w:rsidR="007004E4" w:rsidRPr="002E5315">
        <w:rPr>
          <w:rFonts w:ascii="Gill Sans MT" w:eastAsia="Malgun Gothic" w:hAnsi="Gill Sans MT"/>
          <w:sz w:val="23"/>
          <w:szCs w:val="23"/>
        </w:rPr>
        <w:t>19</w:t>
      </w:r>
      <w:r w:rsidRPr="002E5315">
        <w:rPr>
          <w:rFonts w:ascii="Gill Sans MT" w:eastAsia="Malgun Gothic" w:hAnsi="Gill Sans MT"/>
          <w:sz w:val="23"/>
          <w:szCs w:val="23"/>
        </w:rPr>
        <w:t>. završena je provedba aktivnosti planiranih u okviru Twinning Light projekta "Jačanje kapaciteta Agencije za zaštitu ličnih podataka i slobodan pristup informacijama", koji je u razdoblju od 6 mjeseci u Crnoj Gori provodio Povjerenik, u suradnji sa Središnjom agencijom za financiranje i ugovaranje programa i projekata EU, vrijedan 250.000,00 eura.</w:t>
      </w:r>
    </w:p>
    <w:p w14:paraId="42C08E41" w14:textId="77777777" w:rsidR="00633D93" w:rsidRDefault="00042453" w:rsidP="00042453">
      <w:pPr>
        <w:pStyle w:val="Odlomakpopisa"/>
        <w:ind w:left="284"/>
        <w:rPr>
          <w:rFonts w:ascii="Gill Sans MT" w:eastAsia="Malgun Gothic" w:hAnsi="Gill Sans MT"/>
          <w:sz w:val="23"/>
          <w:szCs w:val="23"/>
        </w:rPr>
      </w:pPr>
      <w:r w:rsidRPr="002E5315">
        <w:rPr>
          <w:rFonts w:ascii="Gill Sans MT" w:eastAsia="Malgun Gothic" w:hAnsi="Gill Sans MT"/>
          <w:sz w:val="23"/>
          <w:szCs w:val="23"/>
        </w:rPr>
        <w:t>Temeljni cilj projekta bio je jačanje efikasnosti ostvarivanja prava na slobodan pristup informacijama u Crnoj Gori, a provedene aktivnosti odnosile su se na pružanje stručne podrške Agenciji za zaštitu ličnih podataka i slobodan pristup informacijama u cilju razvoja instrumenata usmjerenih na efikasno ostvarivanje pristupa informacijama i smanjivanje broja slučajeva šutnje tijela javne vlasti, jačanje kapaciteta tijela javne vlasti za primjenu Zakona o slobodnom pristupu informacijama i povećanje transparentnosti, podizanje svijesti korisnika, posebice civilnog i privatnog sektora o pravu na pristup informacijama</w:t>
      </w:r>
      <w:r w:rsidR="00633D93">
        <w:rPr>
          <w:rFonts w:ascii="Gill Sans MT" w:eastAsia="Malgun Gothic" w:hAnsi="Gill Sans MT"/>
          <w:sz w:val="23"/>
          <w:szCs w:val="23"/>
        </w:rPr>
        <w:t>.</w:t>
      </w:r>
    </w:p>
    <w:p w14:paraId="4E080C3D" w14:textId="77777777" w:rsidR="00633D93" w:rsidRDefault="00042453" w:rsidP="00042453">
      <w:pPr>
        <w:pStyle w:val="Odlomakpopisa"/>
        <w:ind w:left="284"/>
        <w:rPr>
          <w:rFonts w:ascii="Gill Sans MT" w:eastAsia="Malgun Gothic" w:hAnsi="Gill Sans MT"/>
          <w:sz w:val="23"/>
          <w:szCs w:val="23"/>
        </w:rPr>
      </w:pPr>
      <w:r w:rsidRPr="002E5315">
        <w:rPr>
          <w:rFonts w:ascii="Gill Sans MT" w:eastAsia="Malgun Gothic" w:hAnsi="Gill Sans MT"/>
          <w:sz w:val="23"/>
          <w:szCs w:val="23"/>
        </w:rPr>
        <w:t>Tijekom provedbe projekta izrađene su analize zakonodavnog okvira s preporukama za poboljšanje, nacrti podzakonskih propisa za primjenu PSI Direktive, održane su edukacije i radionice za ključne aktere u procesu primjene i nadzora nad primjenom Zakona, a izrađeni su i priručnik za standardizaciju postupanja sa zahtjevima za pristup informacijama i registar tijela javne vlasti, s pripadajućom metodologijom. Druga komponenta projekta, posvećena podizanju razine znanja i svijesti o slobodnom pristup informacijama, uključivala je izradu analize o proaktivnom objavljivanju informacija na internetskim stranicama tijela javne vlasti s preporukama za poboljšanje stanja i povećanje dostupnih informacija na internetu te izradu analize o stanju otvorenih podataka</w:t>
      </w:r>
      <w:r w:rsidR="00633D93">
        <w:rPr>
          <w:rFonts w:ascii="Gill Sans MT" w:eastAsia="Malgun Gothic" w:hAnsi="Gill Sans MT"/>
          <w:sz w:val="23"/>
          <w:szCs w:val="23"/>
        </w:rPr>
        <w:t>.</w:t>
      </w:r>
    </w:p>
    <w:p w14:paraId="5F757D76" w14:textId="77777777" w:rsidR="00633D93" w:rsidRDefault="00042453" w:rsidP="000114BF">
      <w:pPr>
        <w:pStyle w:val="Odlomakpopisa"/>
        <w:numPr>
          <w:ilvl w:val="0"/>
          <w:numId w:val="9"/>
        </w:numPr>
        <w:shd w:val="clear" w:color="auto" w:fill="FFFFFF" w:themeFill="background1"/>
        <w:ind w:left="284" w:hanging="284"/>
        <w:rPr>
          <w:rFonts w:ascii="Gill Sans MT" w:hAnsi="Gill Sans MT" w:cs="Segoe UI"/>
          <w:bCs/>
          <w:iCs/>
          <w:sz w:val="23"/>
          <w:szCs w:val="23"/>
        </w:rPr>
      </w:pPr>
      <w:r w:rsidRPr="002E5315">
        <w:rPr>
          <w:rFonts w:ascii="Gill Sans MT" w:hAnsi="Gill Sans MT" w:cs="Segoe UI"/>
          <w:bCs/>
          <w:iCs/>
          <w:sz w:val="23"/>
          <w:szCs w:val="23"/>
        </w:rPr>
        <w:t>Izrada standardnih tehničkih specifikacija IT sustava uredskog poslovanja kao prilog i sastavni dio nove uredbe o uredskom poslovanju, Ministarstvo uprave, oznaka projekta: PRJ – 691</w:t>
      </w:r>
      <w:r w:rsidR="00633D93">
        <w:rPr>
          <w:rFonts w:ascii="Gill Sans MT" w:hAnsi="Gill Sans MT" w:cs="Segoe UI"/>
          <w:bCs/>
          <w:iCs/>
          <w:sz w:val="23"/>
          <w:szCs w:val="23"/>
        </w:rPr>
        <w:t>.</w:t>
      </w:r>
    </w:p>
    <w:p w14:paraId="59A9DC9E" w14:textId="25CA5D99" w:rsidR="0085052B" w:rsidRPr="002E5315" w:rsidRDefault="00042453" w:rsidP="00042453">
      <w:pPr>
        <w:shd w:val="clear" w:color="auto" w:fill="FFFFFF" w:themeFill="background1"/>
        <w:ind w:left="284"/>
        <w:rPr>
          <w:rFonts w:cs="Segoe UI"/>
          <w:sz w:val="22"/>
          <w:szCs w:val="22"/>
        </w:rPr>
      </w:pPr>
      <w:r w:rsidRPr="002E5315">
        <w:rPr>
          <w:rFonts w:cs="Segoe UI"/>
          <w:szCs w:val="23"/>
        </w:rPr>
        <w:t>Povjerenik za informiranje aktivno se uključio u provedbu projekta Ministarstva uprave „Izrada standardnih tehničkih specifikacija IT sustava uredskog poslovanja kao prilog i sastavni dio nove uredbe o uredskom poslovanju“. Povjerenik je uključen, kao jedno od 8 tijela, u aktivnost analize postojećeg stanja, koja obuhvaća analizu rješenja informacijskih sustava za upravljanje dokumentima. U okviru navedenog projekta Povjerenik je ispunio upitnik o uredskom poslovanju</w:t>
      </w:r>
      <w:r w:rsidR="00954DB8" w:rsidRPr="002E5315">
        <w:rPr>
          <w:rFonts w:cs="Segoe UI"/>
          <w:szCs w:val="23"/>
        </w:rPr>
        <w:t xml:space="preserve"> </w:t>
      </w:r>
      <w:r w:rsidRPr="002E5315">
        <w:rPr>
          <w:rFonts w:cs="Segoe UI"/>
          <w:szCs w:val="23"/>
        </w:rPr>
        <w:t>kojim su se tražili podaci o korištenju sustava za evidenciju uredskog poslovanja, obradi i razvrstavanje pismena, dostavi predmeta i pismena u rad, otpremi akata, pripremi predmeta za pismohranu i arhiv te o naprednom uredskom poslovanje. Nakon popunjavanja upitnika održan je sastanak stručnjaka koji su angažirani na projektu na kojem su analizirani podaci uredskog poslovanja i sustava za uredsko poslovanje Povjerenika</w:t>
      </w:r>
      <w:r w:rsidR="0085052B" w:rsidRPr="002E5315">
        <w:rPr>
          <w:rFonts w:cs="Segoe UI"/>
          <w:sz w:val="22"/>
          <w:szCs w:val="22"/>
        </w:rPr>
        <w:t>.</w:t>
      </w:r>
    </w:p>
    <w:p w14:paraId="648183DF" w14:textId="77777777" w:rsidR="0085052B" w:rsidRPr="002E5315" w:rsidRDefault="0085052B" w:rsidP="0085052B">
      <w:pPr>
        <w:ind w:left="360"/>
        <w:contextualSpacing/>
        <w:rPr>
          <w:rFonts w:eastAsiaTheme="minorHAnsi"/>
          <w:b/>
          <w:bCs/>
          <w:lang w:eastAsia="en-US"/>
        </w:rPr>
      </w:pPr>
      <w:bookmarkStart w:id="123" w:name="_Toc4677902"/>
    </w:p>
    <w:p w14:paraId="57ACE01F" w14:textId="77777777" w:rsidR="0085052B" w:rsidRPr="002E5315" w:rsidRDefault="0085052B" w:rsidP="0085052B">
      <w:pPr>
        <w:ind w:left="360"/>
        <w:contextualSpacing/>
        <w:rPr>
          <w:rFonts w:eastAsiaTheme="minorHAnsi"/>
          <w:b/>
          <w:bCs/>
          <w:lang w:eastAsia="en-US"/>
        </w:rPr>
      </w:pPr>
    </w:p>
    <w:p w14:paraId="1E1EE47F" w14:textId="77777777" w:rsidR="0085052B" w:rsidRPr="002E5315" w:rsidRDefault="0085052B" w:rsidP="0085052B">
      <w:pPr>
        <w:spacing w:after="200"/>
        <w:rPr>
          <w:b/>
          <w:szCs w:val="22"/>
        </w:rPr>
      </w:pPr>
      <w:r w:rsidRPr="002E5315">
        <w:rPr>
          <w:b/>
          <w:szCs w:val="22"/>
        </w:rPr>
        <w:br w:type="page"/>
      </w:r>
    </w:p>
    <w:p w14:paraId="40FBB26A" w14:textId="3B087609" w:rsidR="0085052B" w:rsidRPr="002E5315" w:rsidRDefault="0085052B" w:rsidP="0055512D">
      <w:pPr>
        <w:pStyle w:val="Naslov1"/>
        <w:numPr>
          <w:ilvl w:val="0"/>
          <w:numId w:val="0"/>
        </w:numPr>
        <w:jc w:val="left"/>
      </w:pPr>
      <w:bookmarkStart w:id="124" w:name="_Toc36309010"/>
      <w:r w:rsidRPr="002E5315">
        <w:t>E)</w:t>
      </w:r>
      <w:r w:rsidR="0055512D" w:rsidRPr="002E5315">
        <w:t xml:space="preserve"> </w:t>
      </w:r>
      <w:r w:rsidRPr="002E5315">
        <w:t>OCJENA STANJA, PRIORITETI DJELOVANJA, PRIJEDLOZI I PREPORUKE ZA OTKLANJANJE NEDOSTATAKA I NEPRAVILNOSTI</w:t>
      </w:r>
      <w:bookmarkEnd w:id="124"/>
    </w:p>
    <w:p w14:paraId="12F875B6" w14:textId="18F913A6" w:rsidR="0085052B" w:rsidRPr="002E5315" w:rsidRDefault="0085052B" w:rsidP="0050490D">
      <w:pPr>
        <w:pStyle w:val="Naslov1"/>
      </w:pPr>
      <w:bookmarkStart w:id="125" w:name="_Toc36309011"/>
      <w:bookmarkEnd w:id="123"/>
      <w:r w:rsidRPr="002E5315">
        <w:t>Ocjena stanja provedb</w:t>
      </w:r>
      <w:r w:rsidR="00EC7A83" w:rsidRPr="002E5315">
        <w:t>e</w:t>
      </w:r>
      <w:r w:rsidRPr="002E5315">
        <w:t xml:space="preserve"> Zakona u 2019.</w:t>
      </w:r>
      <w:bookmarkEnd w:id="125"/>
    </w:p>
    <w:p w14:paraId="75C00754" w14:textId="77777777" w:rsidR="00633D93" w:rsidRDefault="00EC7A83" w:rsidP="00EC7A83">
      <w:pPr>
        <w:shd w:val="clear" w:color="auto" w:fill="FFFFFF" w:themeFill="background1"/>
        <w:tabs>
          <w:tab w:val="left" w:pos="-1843"/>
        </w:tabs>
        <w:rPr>
          <w:rFonts w:cs="Segoe UI"/>
          <w:szCs w:val="23"/>
        </w:rPr>
      </w:pPr>
      <w:r w:rsidRPr="002E5315">
        <w:rPr>
          <w:rFonts w:cs="Segoe UI"/>
          <w:szCs w:val="23"/>
        </w:rPr>
        <w:t>Povjerenik je kao neovisno tijelo, izvršavajući svoje zakonske zadaće i tijekom 2019., pratio rad tijela javne vlasti postupanjem po žalbama i predstavkama korisnika, provedbom inspekcijskih nadzora, analitičkim praćenjem objave informacija i provedenih postupaka savjetovanja s javnošću te javnosti rada tijela javne vlasti na državnoj i lokalnoj razini</w:t>
      </w:r>
      <w:r w:rsidR="00633D93">
        <w:rPr>
          <w:rFonts w:cs="Segoe UI"/>
          <w:szCs w:val="23"/>
        </w:rPr>
        <w:t>.</w:t>
      </w:r>
    </w:p>
    <w:p w14:paraId="74E70B41" w14:textId="395B11A0" w:rsidR="00EC7A83" w:rsidRPr="002E5315" w:rsidRDefault="00EC7A83" w:rsidP="00EC7A83">
      <w:pPr>
        <w:shd w:val="clear" w:color="auto" w:fill="FFFFFF" w:themeFill="background1"/>
        <w:tabs>
          <w:tab w:val="left" w:pos="-1843"/>
        </w:tabs>
        <w:rPr>
          <w:rFonts w:cs="Segoe UI"/>
          <w:szCs w:val="23"/>
        </w:rPr>
      </w:pPr>
      <w:r w:rsidRPr="002E5315">
        <w:rPr>
          <w:rFonts w:cs="Segoe UI"/>
          <w:szCs w:val="23"/>
        </w:rPr>
        <w:t>Opća je ocjena Povjerenika da su tijekom 2019. ostvarena određena poboljšanja rada tijela javne vlasti, ali da i dalje ostaju, u tekstu ovog Izvješća ponovno i dodatno istaknuti problemi, koji zahtijevaju veći i kontinuirani angažman tijela javne vlasti, počevši od čelnika tijela, službenika za informiranje te ostalih osoba koje su uključene u postupak ostvarivanja prava na pristup i ponovnu uporabu informacija, u cilju stvarne dostupnosti informacija za korisnike.</w:t>
      </w:r>
    </w:p>
    <w:p w14:paraId="32F5D297" w14:textId="77777777" w:rsidR="00633D93" w:rsidRDefault="00EC7A83" w:rsidP="00EC7A83">
      <w:pPr>
        <w:rPr>
          <w:b/>
          <w:szCs w:val="23"/>
        </w:rPr>
      </w:pPr>
      <w:r w:rsidRPr="002E5315">
        <w:rPr>
          <w:b/>
          <w:szCs w:val="23"/>
        </w:rPr>
        <w:t>Generalno, tijela javne vlasti su u 2019. bila odgovornija prema svojim Zakonom utvrđenim obvezama, no u odnosu na ranije izvještajno razdoblje ne bilježe se značajniji pozitivni pomaci</w:t>
      </w:r>
      <w:r w:rsidR="00633D93">
        <w:rPr>
          <w:b/>
          <w:szCs w:val="23"/>
        </w:rPr>
        <w:t>.</w:t>
      </w:r>
    </w:p>
    <w:p w14:paraId="64A74839" w14:textId="62E62A68" w:rsidR="00EC7A83" w:rsidRPr="002E5315" w:rsidRDefault="00EC7A83" w:rsidP="00EC7A83">
      <w:pPr>
        <w:rPr>
          <w:szCs w:val="23"/>
        </w:rPr>
      </w:pPr>
      <w:r w:rsidRPr="002E5315">
        <w:rPr>
          <w:szCs w:val="23"/>
        </w:rPr>
        <w:t>Iako se i u 2019. nastavlja kontinuitet vrlo visokog postotka rješavanja zahtjeva u zakonskom roku (94 %) od strane (i po podacima) tijela javne vlasti i dalje</w:t>
      </w:r>
      <w:r w:rsidR="00954DB8" w:rsidRPr="002E5315">
        <w:rPr>
          <w:szCs w:val="23"/>
        </w:rPr>
        <w:t xml:space="preserve"> </w:t>
      </w:r>
      <w:r w:rsidRPr="002E5315">
        <w:rPr>
          <w:szCs w:val="23"/>
        </w:rPr>
        <w:t>je zabrinjavajuća nepromijenjena činjenica da neka tijela otežavaju korisnicima pristup informacijama, i to najčešće odugovlačenjem rješavanja ili nerješavanjem zahtjeva (šutnja uprave). No, s druge strane, korisnici postaju sve svjesniji svog prava na pristup informacijama i načina njegova ostvarivanja. Kroz činjenicu da je i dalje veći broj zaprimljenih žalbi nego u periodu 2013.-2016. (statistika 2017. i 2018. uvjetovana je iznimno velikim brojem zahtjeva jednog korisnika), potvrđuje se zaključak da se pravo na pristup informacijama vrlo često ostvaruje tek podnošenjem žalbi Povjereniku.</w:t>
      </w:r>
    </w:p>
    <w:p w14:paraId="008AADBE" w14:textId="714BF57E" w:rsidR="00EC7A83" w:rsidRPr="002E5315" w:rsidRDefault="00EC7A83" w:rsidP="00EC7A83">
      <w:pPr>
        <w:rPr>
          <w:rFonts w:eastAsia="Calibri"/>
          <w:szCs w:val="23"/>
          <w:lang w:eastAsia="en-US"/>
        </w:rPr>
      </w:pPr>
      <w:r w:rsidRPr="002E5315">
        <w:rPr>
          <w:rFonts w:eastAsia="Calibri"/>
          <w:szCs w:val="23"/>
          <w:lang w:eastAsia="en-US"/>
        </w:rPr>
        <w:t>Na sličan način kao i postupanje po zahtjevima korisnika, može se ocijeniti i izvršenje obveze proaktivne objave informacija na internetskim stranicama tijela javne vlasti. Iz izvješća tijela, a osobito analizom rezultata analitičkog praćenja provedbe Zakona u pojedinim dijelovima (i za određene kategorije tijela) proaktivne objave, kao i rezultata inspekcijskog nadzora, uočeni su manji pomaci, ali još uvijek i značajni nedostaci u ispunjenju ove zakonske obveze od strane brojnih tijela javne vlasti.</w:t>
      </w:r>
    </w:p>
    <w:p w14:paraId="26737381" w14:textId="6AB19AAC" w:rsidR="00EC7A83" w:rsidRPr="002E5315" w:rsidRDefault="00EC7A83" w:rsidP="00EC7A83">
      <w:r w:rsidRPr="002E5315">
        <w:rPr>
          <w:rFonts w:eastAsia="Calibri"/>
          <w:szCs w:val="23"/>
          <w:lang w:eastAsia="en-US"/>
        </w:rPr>
        <w:t>Analizom podataka o provedenim žalbenim postupcima, rješavanim predstavkama korisnika, inspekcijskim nalazima, kao i na temelju dostavljenih izvješća tijela te analitičkim</w:t>
      </w:r>
      <w:r w:rsidR="00954DB8" w:rsidRPr="002E5315">
        <w:rPr>
          <w:rFonts w:eastAsia="Calibri"/>
          <w:szCs w:val="23"/>
          <w:lang w:eastAsia="en-US"/>
        </w:rPr>
        <w:t xml:space="preserve"> </w:t>
      </w:r>
      <w:r w:rsidRPr="002E5315">
        <w:rPr>
          <w:rFonts w:eastAsia="Calibri"/>
          <w:szCs w:val="23"/>
          <w:lang w:eastAsia="en-US"/>
        </w:rPr>
        <w:t>praćenjima proaktivne objave, savjetovanja s javnošću i javnosti rada tijela koje je proveo Ured povjerenika, uočeni su trendovi postupanja tijela javne vlasti</w:t>
      </w:r>
      <w:r w:rsidRPr="002E5315">
        <w:rPr>
          <w:rFonts w:eastAsia="Calibri"/>
          <w:strike/>
          <w:color w:val="FF0000"/>
          <w:szCs w:val="23"/>
          <w:lang w:eastAsia="en-US"/>
        </w:rPr>
        <w:t>,</w:t>
      </w:r>
      <w:r w:rsidRPr="002E5315">
        <w:rPr>
          <w:rFonts w:eastAsia="Calibri"/>
          <w:szCs w:val="23"/>
          <w:lang w:eastAsia="en-US"/>
        </w:rPr>
        <w:t xml:space="preserve"> te u pojedinim segmentima nedostaci i nepravilnosti u primjeni ZPPI-ja.</w:t>
      </w:r>
    </w:p>
    <w:p w14:paraId="60C87B7E" w14:textId="0A15C77B" w:rsidR="0085052B" w:rsidRPr="002E5315" w:rsidRDefault="0085052B" w:rsidP="0050490D">
      <w:pPr>
        <w:pStyle w:val="Naslov2"/>
        <w:rPr>
          <w:rFonts w:cs="Segoe UI"/>
        </w:rPr>
      </w:pPr>
      <w:bookmarkStart w:id="126" w:name="_Toc36309012"/>
      <w:r w:rsidRPr="002E5315">
        <w:t>O</w:t>
      </w:r>
      <w:r w:rsidR="00CC2A41" w:rsidRPr="002E5315">
        <w:t>cjena postupanja po zahtjevima za pristup informacijama i zaštite prava</w:t>
      </w:r>
      <w:bookmarkEnd w:id="126"/>
    </w:p>
    <w:p w14:paraId="2A8451F4" w14:textId="00699048" w:rsidR="00EC7A83" w:rsidRPr="002E5315" w:rsidRDefault="00EC7A83" w:rsidP="00EC7A83">
      <w:pPr>
        <w:rPr>
          <w:szCs w:val="23"/>
        </w:rPr>
      </w:pPr>
      <w:r w:rsidRPr="002E5315">
        <w:rPr>
          <w:szCs w:val="23"/>
        </w:rPr>
        <w:t xml:space="preserve">a) Kada se razmatraju ukupno podneseni žalbeni predmeti, evidentno je da je </w:t>
      </w:r>
      <w:r w:rsidRPr="002E5315">
        <w:rPr>
          <w:b/>
          <w:bCs/>
          <w:szCs w:val="23"/>
        </w:rPr>
        <w:t>najveći broj žalbi tijekom 2019., i to više od polovice žalbi (55,30%),</w:t>
      </w:r>
      <w:r w:rsidR="00954DB8" w:rsidRPr="002E5315">
        <w:rPr>
          <w:b/>
          <w:bCs/>
          <w:szCs w:val="23"/>
        </w:rPr>
        <w:t xml:space="preserve"> </w:t>
      </w:r>
      <w:r w:rsidRPr="002E5315">
        <w:rPr>
          <w:szCs w:val="23"/>
        </w:rPr>
        <w:t xml:space="preserve">izjavljen zbog nerješavanja zahtjeva za pristup informacijama u zakonskim rokovima </w:t>
      </w:r>
      <w:r w:rsidRPr="002E5315">
        <w:rPr>
          <w:b/>
          <w:bCs/>
          <w:szCs w:val="23"/>
        </w:rPr>
        <w:t>tzv. šutnja uprave</w:t>
      </w:r>
      <w:r w:rsidRPr="002E5315">
        <w:rPr>
          <w:szCs w:val="23"/>
        </w:rPr>
        <w:t xml:space="preserve"> (15, 30 dana). Šutnja uprave se očituje u ignoriranju rješavanja zahtjeva za pristup informacijama ali i u davanju obavijesti koje nemaju zakonsko uporište ili se korisnike izvješćuje u obliku odgovora, a ne rješenja te se time korisnika onemogućava u podnošenju pravnih lijekova.</w:t>
      </w:r>
    </w:p>
    <w:p w14:paraId="3148C4E6" w14:textId="009271F5" w:rsidR="00EC7A83" w:rsidRPr="002E5315" w:rsidRDefault="00EC7A83" w:rsidP="00EC7A83">
      <w:pPr>
        <w:shd w:val="clear" w:color="auto" w:fill="FFFFFF" w:themeFill="background1"/>
        <w:rPr>
          <w:szCs w:val="23"/>
        </w:rPr>
      </w:pPr>
      <w:r w:rsidRPr="002E5315">
        <w:rPr>
          <w:szCs w:val="23"/>
        </w:rPr>
        <w:t>Međutim, valja naglasiti da postupci koji se vode zbog tzv. šutnje uprave u skoro polovici slučajeva (40,91%) završavaju obustavom postupka, jer je tijelo prije donošenja rješenja Povjerenika o žalbi, riješilo zahtjev korisnika. Dakle, već sama činjenica podnošenja žalbe zbog šutnje uprave i s tim u svezi intervencija Povjerenika, nerijetko je rezultirala rješavanjem zahtjeva bez daljnjeg vođenja žalbenog postupka. To ukazuje da je tijelima javne vlasti, već i zatraženo očitovanje od strane Povjerenika o nerješavanju žalbe bilo dostatno upozorenje da riješe zahtjev. Unatoč tome, navedeno ukazuje na nepravilno postupanje tijela koje dovodi do nepotrebnog angažiranja</w:t>
      </w:r>
      <w:r w:rsidRPr="002E5315">
        <w:rPr>
          <w:color w:val="FF0000"/>
          <w:szCs w:val="23"/>
        </w:rPr>
        <w:t xml:space="preserve"> </w:t>
      </w:r>
      <w:r w:rsidRPr="002E5315">
        <w:rPr>
          <w:szCs w:val="23"/>
        </w:rPr>
        <w:t>administrativnih i financijskih kapaciteta i tijela i Povjerenika (traženje očitovanja, dostava dokaza o postupanju, izrada i uručenje rješenja i dr.).</w:t>
      </w:r>
    </w:p>
    <w:p w14:paraId="4FB67B6D" w14:textId="0D2A874B" w:rsidR="00EC7A83" w:rsidRPr="002E5315" w:rsidRDefault="00EC7A83" w:rsidP="00EC7A83">
      <w:pPr>
        <w:rPr>
          <w:rFonts w:eastAsia="Calibri"/>
          <w:strike/>
          <w:szCs w:val="23"/>
          <w:lang w:eastAsia="en-US"/>
        </w:rPr>
      </w:pPr>
      <w:r w:rsidRPr="002E5315">
        <w:rPr>
          <w:rFonts w:eastAsia="Calibri"/>
          <w:szCs w:val="23"/>
          <w:lang w:eastAsia="en-US"/>
        </w:rPr>
        <w:t>Podaci također pokazuju da dosta korisnika prava na pristup informacijama podnosi preuranjene žalbe prije proteka</w:t>
      </w:r>
      <w:r w:rsidR="00954DB8" w:rsidRPr="002E5315">
        <w:rPr>
          <w:rFonts w:eastAsia="Calibri"/>
          <w:szCs w:val="23"/>
          <w:lang w:eastAsia="en-US"/>
        </w:rPr>
        <w:t xml:space="preserve"> </w:t>
      </w:r>
      <w:r w:rsidRPr="002E5315">
        <w:rPr>
          <w:rFonts w:eastAsia="Calibri"/>
          <w:szCs w:val="23"/>
          <w:lang w:eastAsia="en-US"/>
        </w:rPr>
        <w:t>roka za rješavanje ili posljednji dan roka za rješavanje zahtjeva, što ukazuje da korisnici nisu upoznati sa načinom računanja rokova. Stoga je preporuka tijelima da zahtjev riješe što je moguće ranije i da se ne čeka krajnji rok.</w:t>
      </w:r>
    </w:p>
    <w:p w14:paraId="26A9F691" w14:textId="5295593D" w:rsidR="00EC7A83" w:rsidRPr="002E5315" w:rsidRDefault="00EC7A83" w:rsidP="00EC7A83">
      <w:pPr>
        <w:rPr>
          <w:szCs w:val="23"/>
        </w:rPr>
      </w:pPr>
      <w:r w:rsidRPr="002E5315">
        <w:rPr>
          <w:rFonts w:eastAsia="Calibri"/>
          <w:szCs w:val="23"/>
          <w:lang w:eastAsia="en-US"/>
        </w:rPr>
        <w:t>Iz očitovanja tijela javne vlasti po izjavljenim žalbama zbog tzv. šutnje uprave, često se navodi problem</w:t>
      </w:r>
      <w:r w:rsidR="00954DB8" w:rsidRPr="002E5315">
        <w:rPr>
          <w:rFonts w:eastAsia="Calibri"/>
          <w:szCs w:val="23"/>
          <w:lang w:eastAsia="en-US"/>
        </w:rPr>
        <w:t xml:space="preserve"> </w:t>
      </w:r>
      <w:r w:rsidRPr="002E5315">
        <w:rPr>
          <w:rFonts w:eastAsia="Calibri"/>
          <w:szCs w:val="23"/>
          <w:lang w:eastAsia="en-US"/>
        </w:rPr>
        <w:t>upućivanja zahtjeva nenadležnoj osobi (ne službeniku za informiranje) ili zaprimanja zahtjeva upućenog elektroničkim putem u neželjenoj pošti. Isto ukazuje da tijela trebaju uložiti dodatan napor u bolju organizaciju i koordinaciju unutar tijela, počevši od zaprimanja zahtjeva, ustupanja zahtjeva službeniku za informiranje (ako je upućen glasnogovorniku ili nekoj drugoj osobi unutar tijela) ili da u slučaju postojanja zakonskih uvjeta, produžuju rokove za rješavanje zahtjeva, kako bi se spriječilo podnošenje žalbi zbog šutnje uprave i tako na brži i efikasniji način ostvarilo pravo na pristup informacijama.</w:t>
      </w:r>
    </w:p>
    <w:p w14:paraId="6164D6B7" w14:textId="33950012" w:rsidR="00EC7A83" w:rsidRPr="002E5315" w:rsidRDefault="00EC7A83" w:rsidP="00EC7A83">
      <w:pPr>
        <w:shd w:val="clear" w:color="auto" w:fill="FFFFFF" w:themeFill="background1"/>
        <w:rPr>
          <w:szCs w:val="23"/>
        </w:rPr>
      </w:pPr>
      <w:r w:rsidRPr="002E5315">
        <w:rPr>
          <w:szCs w:val="23"/>
        </w:rPr>
        <w:t xml:space="preserve">b) Nadalje, posebno se ukazuje na </w:t>
      </w:r>
      <w:r w:rsidRPr="002E5315">
        <w:rPr>
          <w:b/>
          <w:bCs/>
          <w:szCs w:val="23"/>
        </w:rPr>
        <w:t>zabrinjavajuću pojavu kod pojedinih tijela da uporno i opetovano onemogućuju pristup informaciji</w:t>
      </w:r>
      <w:r w:rsidRPr="002E5315">
        <w:rPr>
          <w:szCs w:val="23"/>
        </w:rPr>
        <w:t xml:space="preserve"> te u predmetima u kojima se nalaže rješavanje zahtjeva za pristup informacijama,</w:t>
      </w:r>
      <w:r w:rsidR="00954DB8" w:rsidRPr="002E5315">
        <w:rPr>
          <w:szCs w:val="23"/>
        </w:rPr>
        <w:t xml:space="preserve"> </w:t>
      </w:r>
      <w:r w:rsidRPr="002E5315">
        <w:rPr>
          <w:szCs w:val="23"/>
        </w:rPr>
        <w:t xml:space="preserve">pokreću upravni spor ili u slučaju ako i ne pokrenu upravni spor, odbijaju postupiti po nalogu Povjerenika. Za nastalu praksu od značaja je i Zaključak sa sjednice sudaca Visokog upravnog suda RH, da </w:t>
      </w:r>
      <w:r w:rsidRPr="002E5315">
        <w:rPr>
          <w:rFonts w:cs="Arial"/>
          <w:szCs w:val="23"/>
        </w:rPr>
        <w:t>rješenje Povjerenika kojim nalaže prvostupanjskom tijelu da odluči o zahtjevu stranke, nije rješenje koje se izvršava u smislu odredi članaka 133. do 144. ZUP-a. Dakle, a</w:t>
      </w:r>
      <w:r w:rsidRPr="002E5315">
        <w:rPr>
          <w:szCs w:val="23"/>
        </w:rPr>
        <w:t>ko prvostupanjsko tijelo ne postupi po rješenju Povjerenika, prema stajalištu Visokog upravnog suda RH, radi se o propuštanju prvostupanjskog tijela da u određenom roku odluči o zahtjevu strane („šutnja uprave“)</w:t>
      </w:r>
      <w:r w:rsidR="00954DB8" w:rsidRPr="002E5315">
        <w:rPr>
          <w:szCs w:val="23"/>
        </w:rPr>
        <w:t xml:space="preserve"> </w:t>
      </w:r>
      <w:r w:rsidRPr="002E5315">
        <w:rPr>
          <w:szCs w:val="23"/>
        </w:rPr>
        <w:t>pa stranka temeljem članka 25. ZPPI-ja, može izjaviti žalbu Povjereniku i inicirati pokretanje prekršajnog postupka.</w:t>
      </w:r>
    </w:p>
    <w:p w14:paraId="748E139A" w14:textId="77777777" w:rsidR="00EC7A83" w:rsidRPr="002E5315" w:rsidRDefault="00EC7A83" w:rsidP="00EC7A83">
      <w:pPr>
        <w:shd w:val="clear" w:color="auto" w:fill="FFFFFF" w:themeFill="background1"/>
        <w:rPr>
          <w:szCs w:val="23"/>
        </w:rPr>
      </w:pPr>
      <w:r w:rsidRPr="002E5315">
        <w:rPr>
          <w:szCs w:val="23"/>
        </w:rPr>
        <w:t>Pojedina tijela i nakon poništavanja rješenja od strane Povjerenika i vraćanja na ponovni postupak, uz jasnu uputu kako provesti postupak, umjesto rješavanja zahtjeva pokreću upravni spor. Tijela prilikom pokretanja upravnog spora navode da tužba ima odgodni učinak zanemarujući činjenicu da tužba ima odgodni učinak samo ako se rješenjem Povjerenika odobrava pristup informaciji.</w:t>
      </w:r>
    </w:p>
    <w:p w14:paraId="0992F515" w14:textId="76307DE0" w:rsidR="00EC7A83" w:rsidRPr="002E5315" w:rsidRDefault="00EC7A83" w:rsidP="00EC7A83">
      <w:pPr>
        <w:shd w:val="clear" w:color="auto" w:fill="FFFFFF" w:themeFill="background1"/>
        <w:rPr>
          <w:szCs w:val="23"/>
        </w:rPr>
      </w:pPr>
      <w:r w:rsidRPr="002E5315">
        <w:rPr>
          <w:szCs w:val="23"/>
        </w:rPr>
        <w:t>Tako tijela javne vlasti nerijetko koriste postupovne odredbe ZPPI-ja, ZUP-a i ZUS-a, s</w:t>
      </w:r>
      <w:r w:rsidR="00954DB8" w:rsidRPr="002E5315">
        <w:rPr>
          <w:szCs w:val="23"/>
        </w:rPr>
        <w:t xml:space="preserve"> </w:t>
      </w:r>
      <w:r w:rsidRPr="002E5315">
        <w:rPr>
          <w:szCs w:val="23"/>
        </w:rPr>
        <w:t>ciljem odugovlačenja postupka.</w:t>
      </w:r>
    </w:p>
    <w:p w14:paraId="65D0DD1A" w14:textId="097553A4" w:rsidR="00EC7A83" w:rsidRPr="002E5315" w:rsidRDefault="00EC7A83" w:rsidP="00EC7A83">
      <w:pPr>
        <w:shd w:val="clear" w:color="auto" w:fill="FFFFFF" w:themeFill="background1"/>
        <w:rPr>
          <w:szCs w:val="23"/>
        </w:rPr>
      </w:pPr>
      <w:r w:rsidRPr="002E5315">
        <w:rPr>
          <w:szCs w:val="23"/>
        </w:rPr>
        <w:t>c) Posljednjih godina se zabrinjavajuće ponavlja podnošenje</w:t>
      </w:r>
      <w:r w:rsidR="00954DB8" w:rsidRPr="002E5315">
        <w:rPr>
          <w:szCs w:val="23"/>
        </w:rPr>
        <w:t xml:space="preserve"> </w:t>
      </w:r>
      <w:r w:rsidRPr="002E5315">
        <w:rPr>
          <w:szCs w:val="23"/>
        </w:rPr>
        <w:t>velikog</w:t>
      </w:r>
      <w:r w:rsidR="00954DB8" w:rsidRPr="002E5315">
        <w:rPr>
          <w:szCs w:val="23"/>
        </w:rPr>
        <w:t xml:space="preserve"> </w:t>
      </w:r>
      <w:r w:rsidRPr="002E5315">
        <w:rPr>
          <w:szCs w:val="23"/>
        </w:rPr>
        <w:t xml:space="preserve">broja žalbi od strane istog korisnika </w:t>
      </w:r>
      <w:r w:rsidR="00633D93">
        <w:rPr>
          <w:szCs w:val="23"/>
        </w:rPr>
        <w:t>(</w:t>
      </w:r>
      <w:r w:rsidRPr="002E5315">
        <w:rPr>
          <w:szCs w:val="23"/>
        </w:rPr>
        <w:t>korisnik izjavio 15,36% svih zaprimljenih žalbi i 48,95% svih tužbi) te podnošenje i drugih podnesaka po kojima se postupalo.</w:t>
      </w:r>
      <w:r w:rsidR="00954DB8" w:rsidRPr="002E5315">
        <w:rPr>
          <w:szCs w:val="23"/>
        </w:rPr>
        <w:t xml:space="preserve"> </w:t>
      </w:r>
      <w:r w:rsidRPr="002E5315">
        <w:rPr>
          <w:szCs w:val="23"/>
        </w:rPr>
        <w:t>Na taj način onemogućuju se s jedne strane, tijela javne vlasti u obavljanju drugih poslova iz svoje nadležnosti, a s druge strane svojim žalbama i tužbama i drugim podnescima dovode Povjerenika u situaciju da, unatoč rješavanju većeg broja žalbi, ne uspijeva riješiti u zakonskim rokovima sve žalbe, što rezultira pokretanjem upravnih sporova zbog šutnje Povjerenika. Dodatno, zbog neujednačene prakse Visokog upravnog suda RH</w:t>
      </w:r>
      <w:r w:rsidR="00954DB8" w:rsidRPr="002E5315">
        <w:rPr>
          <w:szCs w:val="23"/>
        </w:rPr>
        <w:t xml:space="preserve"> </w:t>
      </w:r>
      <w:r w:rsidRPr="002E5315">
        <w:rPr>
          <w:szCs w:val="23"/>
        </w:rPr>
        <w:t>Povjerenik se izlaže financijskim troškovima</w:t>
      </w:r>
      <w:r w:rsidR="00954DB8" w:rsidRPr="002E5315">
        <w:rPr>
          <w:szCs w:val="23"/>
        </w:rPr>
        <w:t xml:space="preserve"> </w:t>
      </w:r>
      <w:r w:rsidRPr="002E5315">
        <w:rPr>
          <w:szCs w:val="23"/>
        </w:rPr>
        <w:t>za naknadu troškova upravnog spora.</w:t>
      </w:r>
    </w:p>
    <w:p w14:paraId="18BF0A4F" w14:textId="6152AF79" w:rsidR="00EC7A83" w:rsidRPr="002E5315" w:rsidRDefault="00EC7A83" w:rsidP="00EC7A83">
      <w:pPr>
        <w:rPr>
          <w:strike/>
          <w:szCs w:val="23"/>
        </w:rPr>
      </w:pPr>
      <w:r w:rsidRPr="002E5315">
        <w:rPr>
          <w:szCs w:val="23"/>
        </w:rPr>
        <w:t xml:space="preserve">d) Analizirajući vrste odluka Povjerenika po žalbama, uočava se da je i u 2019. </w:t>
      </w:r>
      <w:r w:rsidRPr="002E5315">
        <w:rPr>
          <w:b/>
          <w:bCs/>
          <w:szCs w:val="23"/>
        </w:rPr>
        <w:t>nastavljen trend</w:t>
      </w:r>
      <w:r w:rsidR="00954DB8" w:rsidRPr="002E5315">
        <w:rPr>
          <w:b/>
          <w:bCs/>
          <w:szCs w:val="23"/>
        </w:rPr>
        <w:t xml:space="preserve"> </w:t>
      </w:r>
      <w:r w:rsidRPr="002E5315">
        <w:rPr>
          <w:b/>
          <w:bCs/>
          <w:szCs w:val="23"/>
        </w:rPr>
        <w:t>nezakonitog postupanja tijela javne vlasti (60,84% poništenih rješenja tijela javne vlasti).</w:t>
      </w:r>
    </w:p>
    <w:p w14:paraId="73FB46B2" w14:textId="3D59FFEF" w:rsidR="00EC7A83" w:rsidRPr="002E5315" w:rsidRDefault="00EC7A83" w:rsidP="00EC7A83">
      <w:pPr>
        <w:rPr>
          <w:rFonts w:eastAsia="Calibri"/>
          <w:b/>
          <w:bCs/>
          <w:szCs w:val="23"/>
          <w:lang w:eastAsia="en-US"/>
        </w:rPr>
      </w:pPr>
      <w:r w:rsidRPr="002E5315">
        <w:rPr>
          <w:rFonts w:eastAsia="Calibri"/>
          <w:szCs w:val="23"/>
          <w:lang w:eastAsia="en-US"/>
        </w:rPr>
        <w:t xml:space="preserve">Nepravilna implementacija odredbi ZPPI-ja odnosi se u najvećem dijelu na primjenu pojedinih zakonskih ograničenja: zaštitu osobnih podataka, poslovnu ili profesionalnu tajnu, zlouporabu prava, neposjedovanje zatražene informacije i procjenu da traženje ne predstavlja informaciju u smislu ZPPI-ja, a što su i korisnici najviše preispitivali podnošenjem žalbe. Nadalje, riješeni žalbeni predmeti Povjerenika prema razlozima nezakonitosti, ukazuju da su </w:t>
      </w:r>
      <w:r w:rsidRPr="002E5315">
        <w:rPr>
          <w:rFonts w:eastAsia="Calibri"/>
          <w:b/>
          <w:bCs/>
          <w:szCs w:val="23"/>
          <w:lang w:eastAsia="en-US"/>
        </w:rPr>
        <w:t>3/4 rješenja tijela kojima se štite osobni podaci nezakonita, dok su više od 4/5 odbijajućih rješenja zbog poslovne tajne nezakonita, a nešto manji postotak nezakonitih rješenja se odnosi na zlouporabu prava, 72,22 %.</w:t>
      </w:r>
    </w:p>
    <w:p w14:paraId="09D41E3E" w14:textId="40BC584E" w:rsidR="00EC7A83" w:rsidRPr="002E5315" w:rsidRDefault="00EC7A83" w:rsidP="00EC7A83">
      <w:pPr>
        <w:shd w:val="clear" w:color="auto" w:fill="FFFFFF" w:themeFill="background1"/>
        <w:rPr>
          <w:szCs w:val="23"/>
        </w:rPr>
      </w:pPr>
      <w:r w:rsidRPr="002E5315">
        <w:rPr>
          <w:szCs w:val="23"/>
        </w:rPr>
        <w:t>U odnosu na zaštićene osobne podatke potrebno je ukazati da su tijela donosila odluke koje su značile neopravdanu uskratu informacija zbog zaštite osobnih podataka. Razlozi se mogu pronaći u nepravilnoj primjeni Opće uredbe o zaštiti podataka, s obzirom na kogentnu normu ZPPI-ja</w:t>
      </w:r>
      <w:r w:rsidR="00954DB8" w:rsidRPr="002E5315">
        <w:rPr>
          <w:szCs w:val="23"/>
        </w:rPr>
        <w:t xml:space="preserve"> </w:t>
      </w:r>
      <w:r w:rsidRPr="002E5315">
        <w:rPr>
          <w:szCs w:val="23"/>
        </w:rPr>
        <w:t>kojom su</w:t>
      </w:r>
      <w:r w:rsidR="00954DB8" w:rsidRPr="002E5315">
        <w:rPr>
          <w:szCs w:val="23"/>
        </w:rPr>
        <w:t xml:space="preserve"> </w:t>
      </w:r>
      <w:r w:rsidRPr="002E5315">
        <w:rPr>
          <w:szCs w:val="23"/>
        </w:rPr>
        <w:t>informacije o raspolaganju javnim sredstvima javno dostupne (uključujući imena i prezimena korisnika sredstava i iznose koji su isplaćeni), osim ako se ne radi o klasificiranim informacijama, a što je potvrđeno i odlukama Visokog upravnog suda RH.</w:t>
      </w:r>
    </w:p>
    <w:p w14:paraId="2998E281" w14:textId="5A6C8925" w:rsidR="00EC7A83" w:rsidRPr="002E5315" w:rsidRDefault="00EC7A83" w:rsidP="00EC7A83">
      <w:pPr>
        <w:rPr>
          <w:szCs w:val="23"/>
        </w:rPr>
      </w:pPr>
      <w:r w:rsidRPr="002E5315">
        <w:rPr>
          <w:szCs w:val="23"/>
        </w:rPr>
        <w:t>Poslovnu tajnu su trgovačka društva često koristila kao ograničenje pristupa, međutim Povjerenik je u 83,33%</w:t>
      </w:r>
      <w:r w:rsidR="00954DB8" w:rsidRPr="002E5315">
        <w:rPr>
          <w:szCs w:val="23"/>
        </w:rPr>
        <w:t xml:space="preserve"> </w:t>
      </w:r>
      <w:r w:rsidRPr="002E5315">
        <w:rPr>
          <w:szCs w:val="23"/>
        </w:rPr>
        <w:t>žalbenih predmeta utvrdio da se nije radilo o poslovnoj tajni (npr. različite isplate, podaci o plaćama i dr.) ili da se radilo o raspolaganju javnim sredstvima. S druge strane i sami korisnici ne pokazuju interes za cijelu informaciju i razumiju potrebu zaštite dijela podataka.</w:t>
      </w:r>
    </w:p>
    <w:p w14:paraId="69362842" w14:textId="14947211" w:rsidR="00EC7A83" w:rsidRPr="002E5315" w:rsidRDefault="00EC7A83" w:rsidP="00EC7A83">
      <w:pPr>
        <w:rPr>
          <w:strike/>
          <w:szCs w:val="23"/>
        </w:rPr>
      </w:pPr>
      <w:r w:rsidRPr="002E5315">
        <w:rPr>
          <w:szCs w:val="23"/>
        </w:rPr>
        <w:t>Stoga je Povjerenik je početkom listopada 2019. donio Smjernicu o pravu na pristup informacijama i poslovnoj tajni, pa bi pravilna primjena te Smjernice, upravna i sudska praksa, uz ciljane edukacije, trebale dovesti do smanjivanja broja podnesenih žalbi i poništenih odluka.</w:t>
      </w:r>
    </w:p>
    <w:p w14:paraId="5DB34B0F" w14:textId="7FB92F40" w:rsidR="00EC7A83" w:rsidRPr="002E5315" w:rsidRDefault="00EC7A83" w:rsidP="00EC7A83">
      <w:pPr>
        <w:shd w:val="clear" w:color="auto" w:fill="FFFFFF" w:themeFill="background1"/>
        <w:rPr>
          <w:szCs w:val="23"/>
        </w:rPr>
      </w:pPr>
      <w:r w:rsidRPr="002E5315">
        <w:rPr>
          <w:szCs w:val="23"/>
        </w:rPr>
        <w:t>Kada se uzmu u obzir žalbeni predmeti koji se odnose na zlouporabu prava na pristup informacijama od strane korisnika, vidljivo je da je u 72,22% slučajeva Povjerenik zauzeo stav suprotan stavu tijela javne vlasti o tome da korisnici zloupotrebljavaju prava na pristup informacijama, a u 22,22% da su razlozi bili opravdani. Usporedbom s 2018. je vidljivo da je došlo do smanjenja broja potvrđenih odluka tijela javne vlasti jer ih 2018. potvrđeno 28,33%. Iako nije riječ o značajnom smanjenju zakonitih rješenja, ističe se da je određeni postotak smanjenja rezultat promijenjenog stajališta Visokog upravnog suda RH. Naime, Sud je</w:t>
      </w:r>
      <w:r w:rsidR="00954DB8" w:rsidRPr="002E5315">
        <w:rPr>
          <w:szCs w:val="23"/>
        </w:rPr>
        <w:t xml:space="preserve"> </w:t>
      </w:r>
      <w:r w:rsidRPr="002E5315">
        <w:rPr>
          <w:szCs w:val="23"/>
        </w:rPr>
        <w:t>poništio pojedina rješenja Povjerenika kojima je potvrđena zlouporaba od strane korisnika. Nakon zaprimanja</w:t>
      </w:r>
      <w:r w:rsidR="00954DB8" w:rsidRPr="002E5315">
        <w:rPr>
          <w:szCs w:val="23"/>
        </w:rPr>
        <w:t xml:space="preserve"> </w:t>
      </w:r>
      <w:r w:rsidRPr="002E5315">
        <w:rPr>
          <w:szCs w:val="23"/>
        </w:rPr>
        <w:t>presuda Visokog upravnog suda RH prema kojima</w:t>
      </w:r>
      <w:r w:rsidR="00954DB8" w:rsidRPr="002E5315">
        <w:rPr>
          <w:szCs w:val="23"/>
        </w:rPr>
        <w:t xml:space="preserve"> </w:t>
      </w:r>
      <w:r w:rsidRPr="002E5315">
        <w:rPr>
          <w:szCs w:val="23"/>
        </w:rPr>
        <w:t>kod raspolaganja javnim sredstvima ne može doći do zlouporabe, Povjerenik je</w:t>
      </w:r>
      <w:r w:rsidR="00954DB8" w:rsidRPr="002E5315">
        <w:rPr>
          <w:szCs w:val="23"/>
        </w:rPr>
        <w:t xml:space="preserve"> </w:t>
      </w:r>
      <w:r w:rsidRPr="002E5315">
        <w:rPr>
          <w:szCs w:val="23"/>
        </w:rPr>
        <w:t>izmijenio svoja rješenja i sukladno tome poništio određeni broj rješenja prvostupanjskih tijela.</w:t>
      </w:r>
    </w:p>
    <w:p w14:paraId="42536B8C" w14:textId="1DE8C5D4" w:rsidR="00EC7A83" w:rsidRPr="002E5315" w:rsidRDefault="00EC7A83" w:rsidP="00EC7A83">
      <w:pPr>
        <w:rPr>
          <w:rFonts w:eastAsia="Calibri"/>
          <w:szCs w:val="23"/>
          <w:lang w:eastAsia="en-US"/>
        </w:rPr>
      </w:pPr>
      <w:r w:rsidRPr="002E5315">
        <w:rPr>
          <w:szCs w:val="23"/>
        </w:rPr>
        <w:t>Otežavanju pristupa informacijama doprinijela je i promjena pravnog stajališta Visokog upravnog suda RH, kojom korisnici gube mogućnost ulaganja prigovora čelniku tijela na obavijest da se njihovo traženje ne smatra zahtjevom za pristup informacijama, a time gube i pravo na žalbu Povjereniku (</w:t>
      </w:r>
      <w:r w:rsidRPr="002E5315">
        <w:rPr>
          <w:rFonts w:eastAsia="Calibri"/>
          <w:szCs w:val="23"/>
          <w:lang w:eastAsia="en-US"/>
        </w:rPr>
        <w:t>osim po promijenjenoj praksi Suda po kojoj se, ako korisnik nije upoznat s načinom ostvarenja svog prava, treba odlučiti o žalbi izjavljenoj na obavijest).</w:t>
      </w:r>
    </w:p>
    <w:p w14:paraId="15519F52" w14:textId="77777777" w:rsidR="00EC7A83" w:rsidRPr="002E5315" w:rsidRDefault="00EC7A83" w:rsidP="00EC7A83">
      <w:pPr>
        <w:rPr>
          <w:szCs w:val="23"/>
        </w:rPr>
      </w:pPr>
      <w:r w:rsidRPr="002E5315">
        <w:rPr>
          <w:szCs w:val="23"/>
        </w:rPr>
        <w:t>Na zakonitost postupanja po zahtjevima utječu organizacijski i kadrovski problemi u tijelima javne vlasti (nedovoljni kapaciteti tijela, osobito onih s malim brojem zaposlenih, česte izmjene službenika za informiranje zbog čega se ne akumulira stručno znanje za rješavanje zahtjeva, neodgovarajući procesi u tijelima javne vlasti zbog čega se zahtjevi ne dostavljaju službeniku za informiranje, nedovoljna stručnost službenika, ponekad čak i osobne razmirice između čelnika/službenika tijela i korisnika, osobito na lokalnoj razini). Osim toga, i dalje su prisutna pogrešna tumačenja pojedinih odredbi ZPPI-ja, a također i slabost u provedbi upravnog postupka.</w:t>
      </w:r>
    </w:p>
    <w:p w14:paraId="7759CEDF" w14:textId="0CCC1931" w:rsidR="00EC7A83" w:rsidRPr="002E5315" w:rsidRDefault="00EC7A83" w:rsidP="00EC7A83">
      <w:pPr>
        <w:rPr>
          <w:rFonts w:cs="Arial"/>
          <w:szCs w:val="23"/>
        </w:rPr>
      </w:pPr>
      <w:r w:rsidRPr="002E5315">
        <w:rPr>
          <w:strike/>
          <w:szCs w:val="23"/>
        </w:rPr>
        <w:t>e</w:t>
      </w:r>
      <w:r w:rsidRPr="002E5315">
        <w:rPr>
          <w:szCs w:val="23"/>
        </w:rPr>
        <w:t xml:space="preserve">) Kada je riječ o drugostupanjskom postupanju, ukazujemo da se </w:t>
      </w:r>
      <w:r w:rsidRPr="002E5315">
        <w:rPr>
          <w:b/>
          <w:bCs/>
          <w:szCs w:val="23"/>
        </w:rPr>
        <w:t>postotak zakonitih drugostupanjskih rješenja Povjerenika smanjio u odnosu na prethodne godine (81,91%).</w:t>
      </w:r>
      <w:r w:rsidRPr="002E5315">
        <w:rPr>
          <w:szCs w:val="23"/>
        </w:rPr>
        <w:t xml:space="preserve"> Na nešto slabiji postotak nego ranijih godina </w:t>
      </w:r>
      <w:r w:rsidRPr="002E5315">
        <w:rPr>
          <w:b/>
          <w:bCs/>
          <w:szCs w:val="23"/>
        </w:rPr>
        <w:t>utjecala je promjena stajališta Visokog upravnog suda RH u nekoliko važnih pitanja</w:t>
      </w:r>
      <w:r w:rsidRPr="002E5315">
        <w:rPr>
          <w:szCs w:val="23"/>
        </w:rPr>
        <w:t>: Sud je</w:t>
      </w:r>
      <w:r w:rsidR="00954DB8" w:rsidRPr="002E5315">
        <w:rPr>
          <w:szCs w:val="23"/>
        </w:rPr>
        <w:t xml:space="preserve"> </w:t>
      </w:r>
      <w:r w:rsidRPr="002E5315">
        <w:rPr>
          <w:szCs w:val="23"/>
        </w:rPr>
        <w:t xml:space="preserve">(u velikom broju istovrsnih predmeta) zauzeo novo stajalište da zlouporaba prava nije moguća kad se radi o raspolaganju javnim sredstvima (iako to ne proizlazi iz zakonske odredbe članka 23. stavka 5. ZPPI-ja); nalaganja tijelu da riješi zahtjev; nemogućnosti izjavljivanja prigovora na obavijest tijela, a time i daljnjih pravnih lijekova; neprikladnosti rješenja Povjerenika za izvršenje. S tim u vezi, važno je istaći da je Povjerenik po prvi puta imao u radu žalbe </w:t>
      </w:r>
      <w:r w:rsidRPr="002E5315">
        <w:rPr>
          <w:rFonts w:cs="Arial"/>
          <w:szCs w:val="23"/>
        </w:rPr>
        <w:t>zbog neizvršenja po pravomoćnim odlukam</w:t>
      </w:r>
      <w:r w:rsidR="00E916B1">
        <w:rPr>
          <w:rFonts w:cs="Arial"/>
          <w:szCs w:val="23"/>
        </w:rPr>
        <w:t>a</w:t>
      </w:r>
      <w:r w:rsidRPr="002E5315">
        <w:rPr>
          <w:rFonts w:cs="Arial"/>
          <w:szCs w:val="23"/>
        </w:rPr>
        <w:t>.</w:t>
      </w:r>
    </w:p>
    <w:p w14:paraId="4B624928" w14:textId="05FA0CB8" w:rsidR="00EC7A83" w:rsidRPr="002E5315" w:rsidRDefault="00EC7A83" w:rsidP="00EC7A83">
      <w:pPr>
        <w:rPr>
          <w:szCs w:val="23"/>
        </w:rPr>
      </w:pPr>
      <w:r w:rsidRPr="002E5315">
        <w:rPr>
          <w:szCs w:val="23"/>
        </w:rPr>
        <w:t>Nadalje, iako je tijekom 2019. došlo do manjeg priljeva žalbi, potrebno je ukazati da neriješene žalbe iz prethodnog razdoblja, a također i izjavljene tužbe te drugi podnesci (pogotovo od strane jednog korisnika) opterećuju sustav i kapacitete Povjerenika, a zbog nove sudske prakse izazivaju i troškove iz proračuna.</w:t>
      </w:r>
    </w:p>
    <w:p w14:paraId="149D5F06" w14:textId="77777777" w:rsidR="00EC7A83" w:rsidRPr="002E5315" w:rsidRDefault="00EC7A83" w:rsidP="00EC7A83">
      <w:pPr>
        <w:shd w:val="clear" w:color="auto" w:fill="FFFFFF" w:themeFill="background1"/>
        <w:rPr>
          <w:szCs w:val="23"/>
        </w:rPr>
      </w:pPr>
      <w:r w:rsidRPr="002E5315">
        <w:rPr>
          <w:szCs w:val="23"/>
        </w:rPr>
        <w:t>U dijelu koji se odnosi na postupanje po zahtjevu za ponovnu uporabu informacija i žalbe koje se izjavljuju u tom području nastavljen je trend malog broja izjavljenih žalbi jer korisnici nisu upoznati s mogućnošću korištenja informacija tijela javne vlasti, a tijela nisu dovoljno upoznata s ponovnom uporabom informacija i primjenom pojedinih zakonskih ograničenja u području ponovne uporabe. U odnosu na način ostvarivanja prava na ponovnu uporabu, treba naglasiti da tijela trebaju proaktivno objavljivati informacije na internetskoj stranici u strojno čitljivom obliku i putem portala otvorenih podataka, a da traženje putem zahtjeva treba biti izuzetak (primjerice, kada se traže određene informacije za koje nije propisana proaktivna objava informacija).</w:t>
      </w:r>
    </w:p>
    <w:p w14:paraId="74531456" w14:textId="64C692E2" w:rsidR="00EC7A83" w:rsidRPr="002E5315" w:rsidRDefault="00EC7A83" w:rsidP="00EC7A83">
      <w:pPr>
        <w:shd w:val="clear" w:color="auto" w:fill="FFFFFF" w:themeFill="background1"/>
        <w:tabs>
          <w:tab w:val="left" w:pos="-1843"/>
        </w:tabs>
        <w:rPr>
          <w:szCs w:val="23"/>
        </w:rPr>
      </w:pPr>
      <w:r w:rsidRPr="002E5315">
        <w:rPr>
          <w:szCs w:val="23"/>
        </w:rPr>
        <w:t>Kao i proteklih nekoliko godina, i u 2019. se nastavljaju neki pozitivni trendovi: podnositelji zahtjeva su svjesniji prava na pristup informacijama; besplatan postupak ostvarivanja prava na pristup informacijama za korisnike (naplaćuju se samo stvarni materijali troškovi) osigurava učinkovitu pravnu zaštitu prava na pristup i ponovnu uporabu informacija; tijela javne vlasti i dalje podnose manji broj tužbi, što znači da u većini prihvaćaju odluke Povjerenika.</w:t>
      </w:r>
    </w:p>
    <w:p w14:paraId="50F8FEB2" w14:textId="082B4B9D" w:rsidR="0085052B" w:rsidRPr="002E5315" w:rsidRDefault="00EC7A83" w:rsidP="00EC7A83">
      <w:r w:rsidRPr="002E5315">
        <w:rPr>
          <w:szCs w:val="23"/>
        </w:rPr>
        <w:t xml:space="preserve">S motrišta usklađene primjene prava i transparentnosti drugostupanjskog odlučivanja važno je naglasiti da </w:t>
      </w:r>
      <w:r w:rsidRPr="002E5315">
        <w:rPr>
          <w:b/>
          <w:bCs/>
          <w:szCs w:val="23"/>
        </w:rPr>
        <w:t>Povjerenik na svojoj internetskoj</w:t>
      </w:r>
      <w:r w:rsidR="00954DB8" w:rsidRPr="002E5315">
        <w:rPr>
          <w:b/>
          <w:bCs/>
          <w:szCs w:val="23"/>
        </w:rPr>
        <w:t xml:space="preserve"> </w:t>
      </w:r>
      <w:r w:rsidRPr="002E5315">
        <w:rPr>
          <w:b/>
          <w:bCs/>
          <w:szCs w:val="23"/>
        </w:rPr>
        <w:t>stranici godinama kontinuirano i ažurno objavljuje primjere iz prakse, putem Tražilice odluka i mišljenja Povjerenika - TOM</w:t>
      </w:r>
      <w:r w:rsidR="00954DB8" w:rsidRPr="002E5315">
        <w:rPr>
          <w:szCs w:val="23"/>
        </w:rPr>
        <w:t xml:space="preserve"> </w:t>
      </w:r>
      <w:r w:rsidRPr="002E5315">
        <w:rPr>
          <w:szCs w:val="23"/>
        </w:rPr>
        <w:t>pokušavajući na taj način učiniti lakšim rad tijelima javne vlasti, a također i svim korisnicima kako bi znali koje su informacije javnog karaktera</w:t>
      </w:r>
      <w:r w:rsidR="0085052B" w:rsidRPr="002E5315">
        <w:t>.</w:t>
      </w:r>
    </w:p>
    <w:p w14:paraId="3DF3E331" w14:textId="7DAF6249" w:rsidR="0085052B" w:rsidRPr="002E5315" w:rsidRDefault="00CC2A41" w:rsidP="00EC7A83">
      <w:pPr>
        <w:pStyle w:val="Naslov2"/>
      </w:pPr>
      <w:bookmarkStart w:id="127" w:name="_Toc36309013"/>
      <w:r w:rsidRPr="002E5315">
        <w:rPr>
          <w:szCs w:val="23"/>
        </w:rPr>
        <w:t>P</w:t>
      </w:r>
      <w:r w:rsidR="00EC7A83" w:rsidRPr="002E5315">
        <w:rPr>
          <w:szCs w:val="23"/>
        </w:rPr>
        <w:t>raćenj</w:t>
      </w:r>
      <w:r w:rsidRPr="002E5315">
        <w:rPr>
          <w:szCs w:val="23"/>
        </w:rPr>
        <w:t>e</w:t>
      </w:r>
      <w:r w:rsidR="00EC7A83" w:rsidRPr="002E5315">
        <w:rPr>
          <w:szCs w:val="23"/>
        </w:rPr>
        <w:t xml:space="preserve"> i promicanj</w:t>
      </w:r>
      <w:r w:rsidRPr="002E5315">
        <w:rPr>
          <w:szCs w:val="23"/>
        </w:rPr>
        <w:t>e</w:t>
      </w:r>
      <w:r w:rsidR="00EC7A83" w:rsidRPr="002E5315">
        <w:rPr>
          <w:szCs w:val="23"/>
        </w:rPr>
        <w:t xml:space="preserve"> prava na pristup informacijama</w:t>
      </w:r>
      <w:bookmarkEnd w:id="127"/>
    </w:p>
    <w:p w14:paraId="6112A427" w14:textId="30FDD01A" w:rsidR="00EC7A83" w:rsidRPr="002E5315" w:rsidRDefault="00EC7A83" w:rsidP="00EC7A83">
      <w:pPr>
        <w:shd w:val="clear" w:color="auto" w:fill="FFFFFF" w:themeFill="background1"/>
        <w:tabs>
          <w:tab w:val="left" w:pos="-1843"/>
        </w:tabs>
        <w:rPr>
          <w:rFonts w:cs="Calibri"/>
          <w:szCs w:val="23"/>
        </w:rPr>
      </w:pPr>
      <w:r w:rsidRPr="002E5315">
        <w:rPr>
          <w:rFonts w:cs="Calibri"/>
          <w:color w:val="000000"/>
          <w:szCs w:val="23"/>
        </w:rPr>
        <w:t xml:space="preserve">a) Proaktivna objava informacija javnog karaktera na internetskim stranicama tijela javne vlasti predstavlja ključan način informiranja javnosti i osiguravanja transparentnosti u suvremenom društvu te alat demokratske kontrole putem kojeg građani mogu pratiti rad i financiranje tijela te se uključiti u procese odlučivanja. Stoga su tijela obvezna samoinicijativno i proaktivno objavljivati niz informacija o svom radu i odlučivanju. Međutim, taksativno navođenje informacija koja su tijela dužna objavljivati na svojim internetskim stranicama jednako se odnosi na sve kategorije tijela, neovisno o njihovom javnom značaju, djelokrugu, veličini i dr., što u praksi dovodi do različitih interpretacija </w:t>
      </w:r>
      <w:r w:rsidRPr="002E5315">
        <w:rPr>
          <w:rFonts w:cs="Calibri"/>
          <w:szCs w:val="23"/>
        </w:rPr>
        <w:t xml:space="preserve">„primjenjivosti“ proaktivnog </w:t>
      </w:r>
      <w:r w:rsidRPr="002E5315">
        <w:rPr>
          <w:rFonts w:cs="Calibri"/>
          <w:color w:val="000000"/>
          <w:szCs w:val="23"/>
        </w:rPr>
        <w:t>objavljivanja informacija za pojedina tijela.</w:t>
      </w:r>
      <w:r w:rsidRPr="002E5315">
        <w:rPr>
          <w:rFonts w:cs="Calibri"/>
          <w:color w:val="00B050"/>
          <w:szCs w:val="23"/>
        </w:rPr>
        <w:t xml:space="preserve"> </w:t>
      </w:r>
      <w:r w:rsidRPr="002E5315">
        <w:rPr>
          <w:rFonts w:cs="Calibri"/>
          <w:szCs w:val="23"/>
        </w:rPr>
        <w:t>Osim neprimjenjivosti cijelog članka 10. na sva tijela, stavak 1. koji obvezuje na objavu podataka u strojno čitljivom obliku, neprimjenjiv je na sve pobrojane informacije, a što će zahtijevati redefiniranje navedene odredbe Zakona.</w:t>
      </w:r>
    </w:p>
    <w:p w14:paraId="23305C0A" w14:textId="77777777" w:rsidR="00EC7A83" w:rsidRPr="002E5315" w:rsidRDefault="00EC7A83" w:rsidP="00EC7A83">
      <w:pPr>
        <w:shd w:val="clear" w:color="auto" w:fill="FFFFFF" w:themeFill="background1"/>
        <w:tabs>
          <w:tab w:val="left" w:pos="-1843"/>
        </w:tabs>
        <w:rPr>
          <w:rFonts w:cs="Calibri"/>
          <w:szCs w:val="23"/>
        </w:rPr>
      </w:pPr>
      <w:r w:rsidRPr="002E5315">
        <w:rPr>
          <w:rFonts w:cs="Calibri"/>
          <w:color w:val="000000"/>
          <w:szCs w:val="23"/>
        </w:rPr>
        <w:t>Problem objave informacija tijela koja nemaju internetsku stranicu, je rezultirao je i izradom dodatnih uputa i smjernica Povjerenika. U odnosu na tijela koja nemaju svoju internetsku stranicu dodatnom uputom, koja se na jednak način odnosi na tijela bez internetske stranice i njihove osnivače (povezana tijela), obvezuju se da informacije objavljuju na podstranici osnivača.</w:t>
      </w:r>
    </w:p>
    <w:p w14:paraId="1147A661" w14:textId="233C2A53" w:rsidR="00EC7A83" w:rsidRPr="002E5315" w:rsidRDefault="00EC7A83" w:rsidP="00EC7A83">
      <w:pPr>
        <w:rPr>
          <w:rFonts w:cs="Calibri"/>
          <w:color w:val="000000"/>
          <w:szCs w:val="23"/>
        </w:rPr>
      </w:pPr>
      <w:r w:rsidRPr="002E5315">
        <w:rPr>
          <w:rFonts w:cs="Calibri"/>
          <w:color w:val="000000"/>
          <w:szCs w:val="23"/>
        </w:rPr>
        <w:t xml:space="preserve">b) Nadalje, kako je uočeno da pojedine kategorije tijela pokazuju nerazumijevanje obveze javnosti rada, </w:t>
      </w:r>
      <w:r w:rsidRPr="002E5315">
        <w:rPr>
          <w:rFonts w:cs="Calibri"/>
          <w:szCs w:val="23"/>
        </w:rPr>
        <w:t xml:space="preserve">tako su </w:t>
      </w:r>
      <w:r w:rsidRPr="002E5315">
        <w:rPr>
          <w:rFonts w:cs="Calibri"/>
          <w:color w:val="000000"/>
          <w:szCs w:val="23"/>
        </w:rPr>
        <w:t>dane načelne smjernice tijelima da se obveza javnosti rada kolegijalnih tijela odnosi na upravljačka i nadzorna tijela, ali ne i na stručna tijela na</w:t>
      </w:r>
      <w:r w:rsidRPr="002E5315">
        <w:rPr>
          <w:bCs/>
          <w:szCs w:val="23"/>
        </w:rPr>
        <w:t xml:space="preserve"> kojima se ne odlučuje o pitanjima značajnim za javnost.</w:t>
      </w:r>
    </w:p>
    <w:p w14:paraId="04C69A4E" w14:textId="5630676D" w:rsidR="00EC7A83" w:rsidRPr="002E5315" w:rsidRDefault="00EC7A83" w:rsidP="00EC7A83">
      <w:pPr>
        <w:rPr>
          <w:bCs/>
          <w:szCs w:val="23"/>
        </w:rPr>
      </w:pPr>
      <w:r w:rsidRPr="002E5315">
        <w:rPr>
          <w:rFonts w:cs="Calibri"/>
          <w:color w:val="000000"/>
          <w:szCs w:val="23"/>
        </w:rPr>
        <w:t xml:space="preserve">Zbog </w:t>
      </w:r>
      <w:r w:rsidRPr="002E5315">
        <w:rPr>
          <w:bCs/>
          <w:szCs w:val="23"/>
        </w:rPr>
        <w:t>uočenih nedostataka u postupanju JLP(R)S-ova glede objave informacija potrebnih za osiguravanje javnosti rada, Povjerenik je donio dodatne smjernice za proaktivnu/pravovremenu objavu dnevnih redova sjednica i zaključaka/zapisnika te mogućnosti prisustvovanja na njima, naglašavajući značaj pravovremene objave informacija, jer se jedino tako postiže svrha javnosti rada.</w:t>
      </w:r>
    </w:p>
    <w:p w14:paraId="521A4540" w14:textId="19FCA00F" w:rsidR="00EC7A83" w:rsidRPr="002E5315" w:rsidRDefault="00EC7A83" w:rsidP="00EC7A83">
      <w:pPr>
        <w:tabs>
          <w:tab w:val="left" w:pos="-1843"/>
        </w:tabs>
        <w:rPr>
          <w:rFonts w:eastAsia="Calibri" w:cs="Segoe UI"/>
          <w:szCs w:val="23"/>
          <w:lang w:eastAsia="en-US"/>
        </w:rPr>
      </w:pPr>
      <w:r w:rsidRPr="002E5315">
        <w:rPr>
          <w:rFonts w:cs="Segoe UI"/>
          <w:szCs w:val="23"/>
        </w:rPr>
        <w:t xml:space="preserve">c) </w:t>
      </w:r>
      <w:r w:rsidRPr="002E5315">
        <w:rPr>
          <w:rFonts w:eastAsia="Calibri" w:cs="Segoe UI"/>
          <w:szCs w:val="23"/>
          <w:lang w:eastAsia="en-US"/>
        </w:rPr>
        <w:t xml:space="preserve">Vezano uz samu strukturu internetskih stranica, </w:t>
      </w:r>
      <w:r w:rsidRPr="002E5315">
        <w:rPr>
          <w:rFonts w:eastAsia="Calibri" w:cs="Segoe UI"/>
          <w:b/>
          <w:bCs/>
          <w:szCs w:val="23"/>
          <w:lang w:eastAsia="en-US"/>
        </w:rPr>
        <w:t>tijela i dalje ne vode dovoljno računa o</w:t>
      </w:r>
      <w:r w:rsidRPr="002E5315">
        <w:rPr>
          <w:rFonts w:eastAsia="Calibri" w:cs="Segoe UI"/>
          <w:szCs w:val="23"/>
          <w:lang w:eastAsia="en-US"/>
        </w:rPr>
        <w:t xml:space="preserve"> </w:t>
      </w:r>
      <w:r w:rsidRPr="002E5315">
        <w:rPr>
          <w:rFonts w:eastAsia="Calibri" w:cs="Segoe UI"/>
          <w:b/>
          <w:bCs/>
          <w:szCs w:val="23"/>
          <w:lang w:eastAsia="en-US"/>
        </w:rPr>
        <w:t>kvaliteti objavljenih informacija</w:t>
      </w:r>
      <w:r w:rsidRPr="002E5315">
        <w:rPr>
          <w:rFonts w:eastAsia="Calibri" w:cs="Segoe UI"/>
          <w:b/>
          <w:szCs w:val="23"/>
          <w:lang w:eastAsia="en-US"/>
        </w:rPr>
        <w:t xml:space="preserve"> </w:t>
      </w:r>
      <w:r w:rsidRPr="002E5315">
        <w:rPr>
          <w:rFonts w:eastAsia="Calibri" w:cs="Segoe UI"/>
          <w:szCs w:val="23"/>
          <w:lang w:eastAsia="en-US"/>
        </w:rPr>
        <w:t>(</w:t>
      </w:r>
      <w:r w:rsidRPr="002E5315">
        <w:rPr>
          <w:rFonts w:eastAsia="Calibri" w:cs="Segoe UI"/>
          <w:bCs/>
          <w:szCs w:val="23"/>
          <w:lang w:eastAsia="en-US"/>
        </w:rPr>
        <w:t>objava podataka u neodgovarajućim oblicima, najčešće PDF</w:t>
      </w:r>
      <w:r w:rsidRPr="002E5315">
        <w:rPr>
          <w:rFonts w:eastAsia="Calibri" w:cs="Segoe UI"/>
          <w:szCs w:val="23"/>
          <w:lang w:eastAsia="en-US"/>
        </w:rPr>
        <w:t xml:space="preserve">), bez poklanjanja dovoljno pažnje lakoj pretraživosti i preglednosti internetskih stranica te jasnoći dostupnih informacija. Objavom velike količine informacija koje nisu logički strukturirane i tematski posložene, ne postiže se svrha proaktivne objave. Pri tome je posebno važno naglasiti </w:t>
      </w:r>
      <w:r w:rsidRPr="002E5315">
        <w:rPr>
          <w:rFonts w:eastAsia="Calibri" w:cs="Segoe UI"/>
          <w:b/>
          <w:bCs/>
          <w:szCs w:val="23"/>
          <w:lang w:eastAsia="en-US"/>
        </w:rPr>
        <w:t>nepravilno provođenje ili neprovođenje zakonske obveze objave registara i baza podataka</w:t>
      </w:r>
      <w:r w:rsidRPr="002E5315">
        <w:rPr>
          <w:rFonts w:eastAsia="Calibri" w:cs="Segoe UI"/>
          <w:szCs w:val="23"/>
          <w:lang w:eastAsia="en-US"/>
        </w:rPr>
        <w:t xml:space="preserve"> iz djelokruga tijela radi ponovne uporabe. Ova obveza podrazumijeva s jedne strane objavu Popisa svih baza podataka iz djelokruga (neovisno o pogodnosti za ponovnu uporabu) i s druge strane objavu registara i baza podataka nad kojima nema ograničenja u strojno čitljivom i otvorenom formatu – sa svrhom slobodne dostupnosti.</w:t>
      </w:r>
    </w:p>
    <w:p w14:paraId="54DF9AD0" w14:textId="32F93058" w:rsidR="00EC7A83" w:rsidRPr="002E5315" w:rsidRDefault="00EC7A83" w:rsidP="00EC7A83">
      <w:pPr>
        <w:rPr>
          <w:rFonts w:eastAsia="Calibri" w:cs="Calibri"/>
          <w:szCs w:val="23"/>
          <w:lang w:eastAsia="en-US"/>
        </w:rPr>
      </w:pPr>
      <w:r w:rsidRPr="002E5315">
        <w:rPr>
          <w:rFonts w:eastAsia="Calibri" w:cs="Calibri"/>
          <w:szCs w:val="23"/>
          <w:lang w:eastAsia="en-US"/>
        </w:rPr>
        <w:t>Nerazumijevanje ove zakonske obveze kod velikog broja tijela i nakon pet godina primjene Zakona i kontinuiranog upućivanja tijela na način provedbe ove obveze, potaknulo je Povjerenika da, nakon preliminarne analize dostavljenih podataka za ovo izvješće, u okviru svoje nadležnosti, još jednom predloži središnjim državnim tijelima da objave Popis skupova podataka iz svoje nadležnosti te izvrše analizu propisa iz svog područja kako bi detektirali sve registre i baze podataka i tijela koja su za njih zadužena u pojedinom upravnom području, sa svrhom utvrđivanja pogodnosti istih za ponovnu uporabu te donošenja plana za otvaranje registara i baza podataka, odnosno njihovu prilagodbu za moguću objavu, a što je osnaženo u okviru priori</w:t>
      </w:r>
      <w:r w:rsidR="00800B17">
        <w:rPr>
          <w:rFonts w:eastAsia="Calibri" w:cs="Calibri"/>
          <w:szCs w:val="23"/>
          <w:lang w:eastAsia="en-US"/>
        </w:rPr>
        <w:t>te</w:t>
      </w:r>
      <w:r w:rsidRPr="002E5315">
        <w:rPr>
          <w:rFonts w:eastAsia="Calibri" w:cs="Calibri"/>
          <w:szCs w:val="23"/>
          <w:lang w:eastAsia="en-US"/>
        </w:rPr>
        <w:t>ta djelovanja u 2020.</w:t>
      </w:r>
    </w:p>
    <w:p w14:paraId="2143135A" w14:textId="77777777" w:rsidR="00EC7A83" w:rsidRPr="002E5315" w:rsidRDefault="00EC7A83" w:rsidP="00EC7A83">
      <w:pPr>
        <w:rPr>
          <w:rFonts w:eastAsia="Calibri" w:cs="Calibri"/>
          <w:szCs w:val="23"/>
          <w:lang w:eastAsia="en-US"/>
        </w:rPr>
      </w:pPr>
      <w:r w:rsidRPr="002E5315">
        <w:rPr>
          <w:rFonts w:eastAsia="Calibri" w:cs="Calibri"/>
          <w:szCs w:val="23"/>
          <w:lang w:eastAsia="en-US"/>
        </w:rPr>
        <w:t>Politikom otvorenih podataka Vlade RH, SDURDD je određen nadležnim tijelom za njezinu provedbu i stvaranj</w:t>
      </w:r>
      <w:r w:rsidRPr="002E5315">
        <w:rPr>
          <w:rFonts w:eastAsia="Calibri" w:cs="Calibri"/>
          <w:strike/>
          <w:szCs w:val="23"/>
          <w:lang w:eastAsia="en-US"/>
        </w:rPr>
        <w:t>e</w:t>
      </w:r>
      <w:r w:rsidRPr="002E5315">
        <w:rPr>
          <w:rFonts w:eastAsia="Calibri" w:cs="Calibri"/>
          <w:szCs w:val="23"/>
          <w:lang w:eastAsia="en-US"/>
        </w:rPr>
        <w:t xml:space="preserve"> poticajnog okruženja za otvaranje podataka, a isto bi trebalo jačati kroz uređenje institucionalnog okvira i jačanje ovlasti u tom segmentu, ali i donošenjem Akcijskog plana za provedbu Politike otvorenih podataka s jasno utvrđenim planom aktivnosti, rokovima izvršenja i njihovim nositeljima.</w:t>
      </w:r>
    </w:p>
    <w:p w14:paraId="254A2BDA" w14:textId="360D5B0F" w:rsidR="00EC7A83" w:rsidRPr="002E5315" w:rsidRDefault="00EC7A83" w:rsidP="00EC7A83">
      <w:pPr>
        <w:rPr>
          <w:rFonts w:cs="Calibri"/>
          <w:szCs w:val="23"/>
        </w:rPr>
      </w:pPr>
      <w:r w:rsidRPr="002E5315">
        <w:rPr>
          <w:rFonts w:cs="Calibri"/>
          <w:szCs w:val="23"/>
        </w:rPr>
        <w:t>d) Rezultati praćenja proaktivne objave</w:t>
      </w:r>
      <w:r w:rsidR="00954DB8" w:rsidRPr="002E5315">
        <w:rPr>
          <w:rFonts w:cs="Calibri"/>
          <w:szCs w:val="23"/>
        </w:rPr>
        <w:t xml:space="preserve"> </w:t>
      </w:r>
      <w:r w:rsidRPr="002E5315">
        <w:rPr>
          <w:rFonts w:cs="Calibri"/>
          <w:szCs w:val="23"/>
        </w:rPr>
        <w:t xml:space="preserve">ukazuju da je odgovornost tijela javne vlasti veća, međutim </w:t>
      </w:r>
      <w:r w:rsidRPr="002E5315">
        <w:rPr>
          <w:rFonts w:cs="Calibri"/>
          <w:b/>
          <w:bCs/>
          <w:szCs w:val="23"/>
        </w:rPr>
        <w:t>još uvijek postoje informacije koje veliki dio tijela ne objavljuj</w:t>
      </w:r>
      <w:r w:rsidR="00800B17">
        <w:rPr>
          <w:rFonts w:cs="Calibri"/>
          <w:b/>
          <w:bCs/>
          <w:szCs w:val="23"/>
        </w:rPr>
        <w:t>e</w:t>
      </w:r>
      <w:r w:rsidRPr="002E5315">
        <w:rPr>
          <w:rFonts w:cs="Calibri"/>
          <w:b/>
          <w:bCs/>
          <w:szCs w:val="23"/>
        </w:rPr>
        <w:t xml:space="preserve"> (ili ih djelomice objavljuj</w:t>
      </w:r>
      <w:r w:rsidR="00800B17">
        <w:rPr>
          <w:rFonts w:cs="Calibri"/>
          <w:b/>
          <w:bCs/>
          <w:szCs w:val="23"/>
        </w:rPr>
        <w:t>e</w:t>
      </w:r>
      <w:r w:rsidRPr="002E5315">
        <w:rPr>
          <w:rFonts w:cs="Calibri"/>
          <w:b/>
          <w:bCs/>
          <w:szCs w:val="23"/>
        </w:rPr>
        <w:t>) i kod kojih je uočena najviša razina nepravilnosti,</w:t>
      </w:r>
      <w:r w:rsidRPr="002E5315">
        <w:rPr>
          <w:rFonts w:cs="Calibri"/>
          <w:szCs w:val="23"/>
        </w:rPr>
        <w:t xml:space="preserve"> a to su:</w:t>
      </w:r>
    </w:p>
    <w:p w14:paraId="59DA643E" w14:textId="21ABA557" w:rsidR="00EC7A83" w:rsidRPr="002E5315" w:rsidRDefault="00EC7A83" w:rsidP="000114BF">
      <w:pPr>
        <w:pStyle w:val="Odlomakpopisa"/>
        <w:numPr>
          <w:ilvl w:val="0"/>
          <w:numId w:val="9"/>
        </w:numPr>
        <w:spacing w:after="0"/>
        <w:ind w:left="709"/>
        <w:rPr>
          <w:rFonts w:ascii="Gill Sans MT" w:hAnsi="Gill Sans MT" w:cs="Calibri"/>
          <w:sz w:val="23"/>
          <w:szCs w:val="23"/>
        </w:rPr>
      </w:pPr>
      <w:r w:rsidRPr="002E5315">
        <w:rPr>
          <w:rFonts w:ascii="Gill Sans MT" w:hAnsi="Gill Sans MT" w:cs="Calibri"/>
          <w:sz w:val="23"/>
          <w:szCs w:val="23"/>
        </w:rPr>
        <w:t>ishodi natječajnih postupaka i javnih poziva (za zapošljavanje i za dodjelu financijskih</w:t>
      </w:r>
      <w:r w:rsidR="00954DB8" w:rsidRPr="002E5315">
        <w:rPr>
          <w:rFonts w:ascii="Gill Sans MT" w:hAnsi="Gill Sans MT" w:cs="Calibri"/>
          <w:sz w:val="23"/>
          <w:szCs w:val="23"/>
        </w:rPr>
        <w:t xml:space="preserve"> </w:t>
      </w:r>
      <w:r w:rsidRPr="002E5315">
        <w:rPr>
          <w:rFonts w:ascii="Gill Sans MT" w:hAnsi="Gill Sans MT" w:cs="Calibri"/>
          <w:sz w:val="23"/>
          <w:szCs w:val="23"/>
        </w:rPr>
        <w:t>sredstava)</w:t>
      </w:r>
    </w:p>
    <w:p w14:paraId="2A44876D" w14:textId="77777777" w:rsidR="00EC7A83" w:rsidRPr="002E5315" w:rsidRDefault="00EC7A83" w:rsidP="000114BF">
      <w:pPr>
        <w:pStyle w:val="Odlomakpopisa"/>
        <w:numPr>
          <w:ilvl w:val="0"/>
          <w:numId w:val="9"/>
        </w:numPr>
        <w:spacing w:after="0"/>
        <w:ind w:left="709"/>
        <w:rPr>
          <w:rFonts w:ascii="Gill Sans MT" w:hAnsi="Gill Sans MT" w:cs="Calibri"/>
          <w:sz w:val="23"/>
          <w:szCs w:val="23"/>
        </w:rPr>
      </w:pPr>
      <w:r w:rsidRPr="002E5315">
        <w:rPr>
          <w:rFonts w:ascii="Gill Sans MT" w:hAnsi="Gill Sans MT" w:cs="Calibri"/>
          <w:sz w:val="23"/>
          <w:szCs w:val="23"/>
        </w:rPr>
        <w:t>popisi skupova podataka iz nadležnosti tijela (</w:t>
      </w:r>
      <w:r w:rsidRPr="002E5315">
        <w:rPr>
          <w:rFonts w:ascii="Gill Sans MT" w:hAnsi="Gill Sans MT" w:cs="Calibri"/>
          <w:i/>
          <w:sz w:val="23"/>
          <w:szCs w:val="23"/>
        </w:rPr>
        <w:t>asset lista</w:t>
      </w:r>
      <w:r w:rsidRPr="002E5315">
        <w:rPr>
          <w:rFonts w:ascii="Gill Sans MT" w:hAnsi="Gill Sans MT" w:cs="Calibri"/>
          <w:sz w:val="23"/>
          <w:szCs w:val="23"/>
        </w:rPr>
        <w:t>) i otvoreni podaci</w:t>
      </w:r>
    </w:p>
    <w:p w14:paraId="220C1F77" w14:textId="77777777" w:rsidR="00EC7A83" w:rsidRPr="002E5315" w:rsidRDefault="00EC7A83" w:rsidP="000114BF">
      <w:pPr>
        <w:numPr>
          <w:ilvl w:val="0"/>
          <w:numId w:val="17"/>
        </w:numPr>
        <w:spacing w:after="0"/>
        <w:contextualSpacing/>
        <w:rPr>
          <w:rFonts w:cs="Calibri"/>
          <w:szCs w:val="23"/>
        </w:rPr>
      </w:pPr>
      <w:r w:rsidRPr="002E5315">
        <w:rPr>
          <w:rFonts w:cs="Calibri"/>
          <w:szCs w:val="23"/>
        </w:rPr>
        <w:t>popisi korisnika donacija i sponzorstava s visinom dodijeljenog iznosa</w:t>
      </w:r>
    </w:p>
    <w:p w14:paraId="461FDAEB" w14:textId="77777777" w:rsidR="00EC7A83" w:rsidRPr="002E5315" w:rsidRDefault="00EC7A83" w:rsidP="000114BF">
      <w:pPr>
        <w:numPr>
          <w:ilvl w:val="0"/>
          <w:numId w:val="17"/>
        </w:numPr>
        <w:spacing w:after="0"/>
        <w:contextualSpacing/>
        <w:rPr>
          <w:rFonts w:cs="Calibri"/>
          <w:szCs w:val="23"/>
        </w:rPr>
      </w:pPr>
      <w:r w:rsidRPr="002E5315">
        <w:rPr>
          <w:rFonts w:cs="Calibri"/>
          <w:szCs w:val="23"/>
        </w:rPr>
        <w:t>informacije o mogućnostima sudjelovanja na sjednicama</w:t>
      </w:r>
    </w:p>
    <w:p w14:paraId="4F1E362C" w14:textId="77777777" w:rsidR="00EC7A83" w:rsidRPr="002E5315" w:rsidRDefault="00EC7A83" w:rsidP="000114BF">
      <w:pPr>
        <w:numPr>
          <w:ilvl w:val="0"/>
          <w:numId w:val="17"/>
        </w:numPr>
        <w:spacing w:after="0"/>
        <w:contextualSpacing/>
        <w:rPr>
          <w:rFonts w:cs="Calibri"/>
          <w:szCs w:val="23"/>
        </w:rPr>
      </w:pPr>
      <w:r w:rsidRPr="002E5315">
        <w:rPr>
          <w:rFonts w:cs="Calibri"/>
          <w:szCs w:val="23"/>
        </w:rPr>
        <w:t>informacije o formalnim radnim tijelima</w:t>
      </w:r>
    </w:p>
    <w:p w14:paraId="0BA4374D" w14:textId="2BD00E27" w:rsidR="00EC7A83" w:rsidRPr="002E5315" w:rsidRDefault="00EC7A83" w:rsidP="000114BF">
      <w:pPr>
        <w:numPr>
          <w:ilvl w:val="0"/>
          <w:numId w:val="17"/>
        </w:numPr>
        <w:spacing w:after="0"/>
        <w:contextualSpacing/>
        <w:rPr>
          <w:rFonts w:cs="Calibri"/>
          <w:szCs w:val="23"/>
        </w:rPr>
      </w:pPr>
      <w:r w:rsidRPr="002E5315">
        <w:rPr>
          <w:rFonts w:cs="Calibri"/>
          <w:szCs w:val="23"/>
        </w:rPr>
        <w:t>zaključci sa službenih sjednica tijela</w:t>
      </w:r>
    </w:p>
    <w:p w14:paraId="35EA3860" w14:textId="77777777" w:rsidR="00EC7A83" w:rsidRPr="002E5315" w:rsidRDefault="00EC7A83" w:rsidP="00954DB8">
      <w:pPr>
        <w:spacing w:before="240"/>
        <w:rPr>
          <w:bCs/>
          <w:szCs w:val="23"/>
        </w:rPr>
      </w:pPr>
      <w:r w:rsidRPr="002E5315">
        <w:rPr>
          <w:bCs/>
          <w:szCs w:val="23"/>
        </w:rPr>
        <w:t>Specijalizirana analitička praćenja pojedinih točaka članka 10. Zakona (proaktivna objava), čiju provedbu smo naznačili u prioritetnim aktivnostima izvješća za 2018., provedena su vezano uz objavu zakona i propisa iz djelokruga ministarstava i vezano uz financijsko planiranje i izvještavanje komora. S rezultatima praćenja su upoznata praćena tijela te su im dane preporuke za uklanjanje nepravilnosti. Ovakav vid segmentarnog praćenja procjenjuje se korisnim za uklanjanje uočenih nepravilnosti i Ured povjerenika će ga nastaviti provoditi i u 2020.</w:t>
      </w:r>
    </w:p>
    <w:p w14:paraId="75818593" w14:textId="77777777" w:rsidR="00EC7A83" w:rsidRPr="002E5315" w:rsidRDefault="00EC7A83" w:rsidP="00EC7A83">
      <w:pPr>
        <w:rPr>
          <w:bCs/>
          <w:szCs w:val="23"/>
        </w:rPr>
      </w:pPr>
      <w:r w:rsidRPr="002E5315">
        <w:rPr>
          <w:bCs/>
          <w:szCs w:val="23"/>
        </w:rPr>
        <w:t xml:space="preserve">e) Analiza sveukupnih podataka o provedbi obveze savjetovanja s jedne strane ukazuje </w:t>
      </w:r>
      <w:r w:rsidRPr="002E5315">
        <w:rPr>
          <w:b/>
          <w:szCs w:val="23"/>
        </w:rPr>
        <w:t>na daljnji pozitivan trend - u broju provedenih savjetovanja (5.313 ili 27,67% više nego 2018.),</w:t>
      </w:r>
      <w:r w:rsidRPr="002E5315">
        <w:rPr>
          <w:bCs/>
          <w:szCs w:val="23"/>
        </w:rPr>
        <w:t xml:space="preserve"> a s druge strane ukazuje na smanjenje broja ukupno primljenih komentara korisnika</w:t>
      </w:r>
      <w:r w:rsidRPr="002E5315">
        <w:rPr>
          <w:b/>
          <w:szCs w:val="23"/>
        </w:rPr>
        <w:t xml:space="preserve"> </w:t>
      </w:r>
      <w:r w:rsidRPr="002E5315">
        <w:rPr>
          <w:bCs/>
          <w:szCs w:val="23"/>
        </w:rPr>
        <w:t>(19.543 komentara u odnosu na. 23.035 komentara u 2018.). Mogući razlog tome je u nepostojanju kvalitetne dvosmjerne komunikacije - neadekvatno pozivanje javnosti i upoznavanje s provedbom savjetovanja za pojedini akt, ali kod dijela korisnika i rezignacija zbog nemogućnosti jačeg utjecaja na kreiranje propisa i javnih politika (neodgovaranje na komentare, neobjavljivanje izvješća, neargumentirano neprihvaćanje prijedloga i sl.).</w:t>
      </w:r>
    </w:p>
    <w:p w14:paraId="6686659A" w14:textId="77777777" w:rsidR="00633D93" w:rsidRDefault="00EC7A83" w:rsidP="00EC7A83">
      <w:pPr>
        <w:rPr>
          <w:szCs w:val="23"/>
        </w:rPr>
      </w:pPr>
      <w:r w:rsidRPr="002E5315">
        <w:rPr>
          <w:bCs/>
          <w:szCs w:val="23"/>
        </w:rPr>
        <w:t xml:space="preserve">Analiza savjetovanja vezano uz akte objavljene u službenom glasilu RH, ukazuje da je </w:t>
      </w:r>
      <w:r w:rsidRPr="002E5315">
        <w:rPr>
          <w:szCs w:val="23"/>
        </w:rPr>
        <w:t>savjetovanje provedeno za 472 akta od 553 (85,35%) objavljena u Narodnim novinama</w:t>
      </w:r>
      <w:r w:rsidRPr="002E5315">
        <w:rPr>
          <w:bCs/>
          <w:szCs w:val="23"/>
        </w:rPr>
        <w:t xml:space="preserve">, što predstavlja značajno povećanje u odnosu na 2018. (kada je provedeno savjetovanje za 71,33% objavljenih akata). </w:t>
      </w:r>
      <w:r w:rsidRPr="002E5315">
        <w:rPr>
          <w:szCs w:val="23"/>
        </w:rPr>
        <w:t xml:space="preserve">U odnosu na prošlogodišnje rezultate, evidentan je porast udjela provedenih savjetovanja s javnošću za najznačajnije vrste propisa – zakone, uredbe i pravilnike, iako je kao i 2018. savjetovanje provedeno za sve zakonske prijedloge koji su doneseni i objavljeni u Narodnim novinama. Važno o je napomenuti </w:t>
      </w:r>
      <w:r w:rsidRPr="002E5315">
        <w:rPr>
          <w:bCs/>
          <w:szCs w:val="23"/>
        </w:rPr>
        <w:t>značajan porast provedenih savjetovanja za pravilnike,</w:t>
      </w:r>
      <w:r w:rsidRPr="002E5315">
        <w:rPr>
          <w:szCs w:val="23"/>
        </w:rPr>
        <w:t xml:space="preserve"> podzakonske akte kojima se bitno utječe na interese i prava korisnika.</w:t>
      </w:r>
      <w:r w:rsidR="00954DB8" w:rsidRPr="002E5315">
        <w:rPr>
          <w:szCs w:val="23"/>
        </w:rPr>
        <w:t xml:space="preserve"> </w:t>
      </w:r>
      <w:r w:rsidRPr="002E5315">
        <w:rPr>
          <w:szCs w:val="23"/>
        </w:rPr>
        <w:t>U 2019. provedena su 332 savjetovanja o pravilnicima ili 86,45% što predstavlja značajno povećanje u odnosu na 2018. g, kad je taj udio iznosio 66,57%</w:t>
      </w:r>
      <w:r w:rsidR="00633D93">
        <w:rPr>
          <w:szCs w:val="23"/>
        </w:rPr>
        <w:t>.</w:t>
      </w:r>
    </w:p>
    <w:p w14:paraId="653374DD" w14:textId="77777777" w:rsidR="00633D93" w:rsidRDefault="00EC7A83" w:rsidP="00EC7A83">
      <w:pPr>
        <w:rPr>
          <w:bCs/>
          <w:szCs w:val="23"/>
        </w:rPr>
      </w:pPr>
      <w:r w:rsidRPr="002E5315">
        <w:rPr>
          <w:bCs/>
          <w:szCs w:val="23"/>
        </w:rPr>
        <w:t xml:space="preserve">Što se tiče same kvalitete provedbe savjetovanja, koja podrazumijeva cijeli proces od objave plana savjetovanja do objave kvalitetnih izvješća, pokazatelji nisu zadovoljavajući. </w:t>
      </w:r>
      <w:r w:rsidRPr="002E5315">
        <w:rPr>
          <w:szCs w:val="23"/>
        </w:rPr>
        <w:t xml:space="preserve">Plan savjetovanja, kao obvezni akt objavilo je manje od polovice (45,51%) </w:t>
      </w:r>
      <w:r w:rsidRPr="002E5315">
        <w:rPr>
          <w:rFonts w:eastAsia="Calibri"/>
          <w:szCs w:val="23"/>
          <w:lang w:eastAsia="en-US"/>
        </w:rPr>
        <w:t>koja su izvijestila da su u 2019. provodila savjetovanja s javnošću</w:t>
      </w:r>
      <w:r w:rsidRPr="002E5315">
        <w:rPr>
          <w:rFonts w:eastAsia="Calibri"/>
          <w:bCs/>
          <w:szCs w:val="23"/>
          <w:lang w:eastAsia="en-US"/>
        </w:rPr>
        <w:t xml:space="preserve">. </w:t>
      </w:r>
      <w:r w:rsidRPr="002E5315">
        <w:rPr>
          <w:bCs/>
          <w:szCs w:val="23"/>
        </w:rPr>
        <w:t xml:space="preserve">Trajanje savjetovanja prema zakonskoj formulaciji „u pravilu 30 dana“, polučilo je </w:t>
      </w:r>
      <w:r w:rsidRPr="002E5315">
        <w:rPr>
          <w:b/>
          <w:szCs w:val="23"/>
        </w:rPr>
        <w:t>negativnim efektom, odnosno skraćivanjem roka provedbe savjetovanja na</w:t>
      </w:r>
      <w:r w:rsidR="00954DB8" w:rsidRPr="002E5315">
        <w:rPr>
          <w:b/>
          <w:szCs w:val="23"/>
        </w:rPr>
        <w:t xml:space="preserve"> </w:t>
      </w:r>
      <w:r w:rsidRPr="002E5315">
        <w:rPr>
          <w:b/>
          <w:szCs w:val="23"/>
        </w:rPr>
        <w:t xml:space="preserve">prosječno 18,84 dana (2018. – 24,77 dana). </w:t>
      </w:r>
      <w:r w:rsidRPr="002E5315">
        <w:rPr>
          <w:bCs/>
          <w:szCs w:val="23"/>
        </w:rPr>
        <w:t>Time se ne postiže svrha savjetovanja i vjerojatno je i to jedan od razloga slabijeg odaziva javnosti da svojim angažmanom doprinesu kvaliteti propisa ili drugih dokumenata</w:t>
      </w:r>
      <w:r w:rsidR="00633D93">
        <w:rPr>
          <w:bCs/>
          <w:szCs w:val="23"/>
        </w:rPr>
        <w:t>.</w:t>
      </w:r>
    </w:p>
    <w:p w14:paraId="4D67D4BC" w14:textId="77777777" w:rsidR="00633D93" w:rsidRDefault="00EC7A83" w:rsidP="00EC7A83">
      <w:pPr>
        <w:rPr>
          <w:bCs/>
          <w:szCs w:val="23"/>
        </w:rPr>
      </w:pPr>
      <w:r w:rsidRPr="002E5315">
        <w:rPr>
          <w:bCs/>
          <w:szCs w:val="23"/>
        </w:rPr>
        <w:t xml:space="preserve">Nadalje, i dalje zabrinjava </w:t>
      </w:r>
      <w:r w:rsidRPr="002E5315">
        <w:rPr>
          <w:szCs w:val="23"/>
        </w:rPr>
        <w:t>neobjavljivanje izvješća u razumnom roku,</w:t>
      </w:r>
      <w:r w:rsidRPr="002E5315">
        <w:rPr>
          <w:bCs/>
          <w:szCs w:val="23"/>
        </w:rPr>
        <w:t xml:space="preserve"> koji se vrlo elastično tumači i ponekad protegne na više mjeseci, unatoč smjernicama Povjerenika i pojedinačnim uputama danim</w:t>
      </w:r>
      <w:r w:rsidR="00954DB8" w:rsidRPr="002E5315">
        <w:rPr>
          <w:bCs/>
          <w:szCs w:val="23"/>
        </w:rPr>
        <w:t xml:space="preserve"> </w:t>
      </w:r>
      <w:r w:rsidRPr="002E5315">
        <w:rPr>
          <w:bCs/>
          <w:szCs w:val="23"/>
        </w:rPr>
        <w:t>tijelima da rok ne bi smio biti duži od 30 dana</w:t>
      </w:r>
      <w:r w:rsidR="00633D93">
        <w:rPr>
          <w:bCs/>
          <w:szCs w:val="23"/>
        </w:rPr>
        <w:t>.</w:t>
      </w:r>
    </w:p>
    <w:p w14:paraId="116A6891" w14:textId="0217280B" w:rsidR="00EC7A83" w:rsidRPr="002E5315" w:rsidRDefault="00EC7A83" w:rsidP="00EC7A83">
      <w:pPr>
        <w:rPr>
          <w:bCs/>
          <w:szCs w:val="23"/>
        </w:rPr>
      </w:pPr>
      <w:r w:rsidRPr="002E5315">
        <w:rPr>
          <w:bCs/>
          <w:szCs w:val="23"/>
        </w:rPr>
        <w:t>Donošenje akta bez priloženog izvješća o provedenom savjetovanju i njegovom doprinosu, predstavlja kršenje zakonske odredbe te se ponovno skreće pozornost donositeljima propisa i drugih dokumenata da inzistiraju na njegovom prilaganju uz predloženi akt.</w:t>
      </w:r>
    </w:p>
    <w:p w14:paraId="3A3A3B52" w14:textId="77777777" w:rsidR="00EC7A83" w:rsidRPr="002E5315" w:rsidRDefault="00EC7A83" w:rsidP="00EC7A83">
      <w:pPr>
        <w:rPr>
          <w:bCs/>
          <w:szCs w:val="23"/>
        </w:rPr>
      </w:pPr>
      <w:r w:rsidRPr="002E5315">
        <w:rPr>
          <w:bCs/>
          <w:szCs w:val="23"/>
        </w:rPr>
        <w:t>Uklanjanju nepravilnosti u samoj provedbi savjetovanja pridonijelo bi poboljšanje zakonodavnog okvira preciznijom regulacijom. Portal e-Savjetovanje standardizirao je u određenoj mjeri provedbu savjetovanja državnih tijela koja su obvezna provoditi ista putem portala. Zbog velikog značaja akata lokalne zajednice za pravne i fizičke osobe, korisno bi bilo na isti način obvezom obuhvatiti i lokalne jedinice.</w:t>
      </w:r>
    </w:p>
    <w:p w14:paraId="295FAF78" w14:textId="77777777" w:rsidR="00633D93" w:rsidRDefault="00EC7A83" w:rsidP="00EC7A83">
      <w:pPr>
        <w:rPr>
          <w:rFonts w:eastAsia="Malgun Gothic"/>
          <w:szCs w:val="23"/>
          <w:lang w:eastAsia="ko-KR"/>
        </w:rPr>
      </w:pPr>
      <w:r w:rsidRPr="002E5315">
        <w:rPr>
          <w:rFonts w:eastAsia="Malgun Gothic"/>
          <w:szCs w:val="23"/>
          <w:lang w:eastAsia="ko-KR"/>
        </w:rPr>
        <w:t>f) Podizanje razine znanja i svijesti o pravu na pristup informacijama i ponovnoj uporabi informacija među službenicima za informiranje, akademskom zajednicom, udrugama, medijima, građanima, ali i čelnicima u tijelima trajna je zadaća Povjerenika, koja je u izvještajnom razdoblju bila naglašena kroz standardne programe edukacija, ali i pružanjem novog koncepta edukacija kroz napredne module za osobito složene i prijeporne odredbe ZPPI-ja i specijalizirane edukacije namijenjene tijelima javne vlasti, ali i korisnicima. Tijekom 2019. provedeno je 38 edukacija (32 u 2018.). Sukladno procjeni da je</w:t>
      </w:r>
      <w:r w:rsidRPr="002E5315">
        <w:rPr>
          <w:rFonts w:eastAsia="Malgun Gothic"/>
          <w:b/>
          <w:bCs/>
          <w:szCs w:val="23"/>
          <w:lang w:eastAsia="ko-KR"/>
        </w:rPr>
        <w:t xml:space="preserve"> u koncept provedbe prava na pristup informacijama nužno uključivanje ključnih i najodgovornijih aktera u tijelima javne vlasti</w:t>
      </w:r>
      <w:r w:rsidRPr="002E5315">
        <w:rPr>
          <w:rFonts w:eastAsia="Malgun Gothic"/>
          <w:szCs w:val="23"/>
          <w:lang w:eastAsia="ko-KR"/>
        </w:rPr>
        <w:t xml:space="preserve"> provedene su dvije (u prošlom izvješću najavljene) specijalizirane edukacije za čelnike tijela/rukovodeće službenike. Usprkos teškoćama u njihovoj realizaciji, u 2020. će se, iznalaženjem primjerenih načina njihove provedbe, s njima i nastaviti</w:t>
      </w:r>
      <w:r w:rsidR="00633D93">
        <w:rPr>
          <w:rFonts w:eastAsia="Malgun Gothic"/>
          <w:szCs w:val="23"/>
          <w:lang w:eastAsia="ko-KR"/>
        </w:rPr>
        <w:t>.</w:t>
      </w:r>
    </w:p>
    <w:p w14:paraId="1278E853" w14:textId="2359069E" w:rsidR="0085052B" w:rsidRPr="002E5315" w:rsidRDefault="00EC7A83" w:rsidP="00EC7A83">
      <w:pPr>
        <w:rPr>
          <w:rFonts w:eastAsia="Malgun Gothic"/>
          <w:b/>
          <w:bCs/>
          <w:lang w:eastAsia="ko-KR"/>
        </w:rPr>
      </w:pPr>
      <w:r w:rsidRPr="002E5315">
        <w:rPr>
          <w:rFonts w:eastAsia="Malgun Gothic" w:cs="Arial"/>
          <w:color w:val="000000"/>
          <w:szCs w:val="23"/>
          <w:lang w:eastAsia="ko-KR"/>
        </w:rPr>
        <w:t xml:space="preserve">Za sustavnu provedbu koncepta prava na pristup informacijama </w:t>
      </w:r>
      <w:r w:rsidRPr="002E5315">
        <w:rPr>
          <w:rFonts w:eastAsia="Malgun Gothic" w:cs="Arial"/>
          <w:b/>
          <w:bCs/>
          <w:color w:val="000000"/>
          <w:szCs w:val="23"/>
          <w:lang w:eastAsia="ko-KR"/>
        </w:rPr>
        <w:t>od iznimne je važnosti funkcioniranje i povezivanje službenika za informiranje u tijelima javne vlasti.</w:t>
      </w:r>
      <w:r w:rsidRPr="002E5315">
        <w:rPr>
          <w:rFonts w:eastAsia="Malgun Gothic" w:cs="Arial"/>
          <w:color w:val="000000"/>
          <w:szCs w:val="23"/>
          <w:lang w:eastAsia="ko-KR"/>
        </w:rPr>
        <w:t xml:space="preserve"> Stoga je i stvaranje uvjeta za uspostavu mreže službenika za informiranje i njihovo tematsko okupljanje, navedeno kao jedan od prioriteta u prošlogodišnjem izvješću. Godišnje savjetovanje službenika za informiranje u organizaciji Ureda povjerenika, organizirano po prvi puta u 2019. kao logičan i snažan korak u uspostavljanju mreže stručnjaka ovog područja, planira se održati i u 2020</w:t>
      </w:r>
      <w:r w:rsidR="0085052B" w:rsidRPr="002E5315">
        <w:t>.</w:t>
      </w:r>
    </w:p>
    <w:p w14:paraId="6122C25A" w14:textId="3D8BFDCF" w:rsidR="009D36E2" w:rsidRPr="002E5315" w:rsidRDefault="00EC7A83" w:rsidP="00C0766E">
      <w:pPr>
        <w:pStyle w:val="Naslov1"/>
        <w:rPr>
          <w:lang w:eastAsia="ko-KR"/>
        </w:rPr>
      </w:pPr>
      <w:bookmarkStart w:id="128" w:name="_Toc36309014"/>
      <w:r w:rsidRPr="002E5315">
        <w:rPr>
          <w:lang w:eastAsia="ko-KR"/>
        </w:rPr>
        <w:t xml:space="preserve">Prioriteti djelovanja Povjerenika </w:t>
      </w:r>
      <w:r w:rsidR="00C612BB">
        <w:rPr>
          <w:lang w:eastAsia="ko-KR"/>
        </w:rPr>
        <w:t xml:space="preserve">i Ureda povjerenika </w:t>
      </w:r>
      <w:r w:rsidRPr="002E5315">
        <w:rPr>
          <w:lang w:eastAsia="ko-KR"/>
        </w:rPr>
        <w:t>u 2020</w:t>
      </w:r>
      <w:r w:rsidR="0085052B" w:rsidRPr="002E5315">
        <w:rPr>
          <w:lang w:eastAsia="ko-KR"/>
        </w:rPr>
        <w:t>.</w:t>
      </w:r>
      <w:bookmarkEnd w:id="128"/>
    </w:p>
    <w:p w14:paraId="49A54977" w14:textId="4646823C" w:rsidR="0085052B" w:rsidRPr="002E5315" w:rsidRDefault="009D36E2" w:rsidP="009D36E2">
      <w:pPr>
        <w:pStyle w:val="Naslov2"/>
      </w:pPr>
      <w:bookmarkStart w:id="129" w:name="_Toc36309015"/>
      <w:r w:rsidRPr="002E5315">
        <w:t>Sva područja iz djelokruga Povjerenika</w:t>
      </w:r>
      <w:bookmarkEnd w:id="129"/>
    </w:p>
    <w:p w14:paraId="05761164" w14:textId="7AACD6C1" w:rsidR="009D36E2" w:rsidRPr="002E5315" w:rsidRDefault="009D36E2" w:rsidP="009D36E2">
      <w:pPr>
        <w:shd w:val="clear" w:color="auto" w:fill="FFFFFF"/>
        <w:rPr>
          <w:szCs w:val="23"/>
        </w:rPr>
      </w:pPr>
      <w:r w:rsidRPr="002E5315">
        <w:rPr>
          <w:szCs w:val="23"/>
        </w:rPr>
        <w:t xml:space="preserve">Temeljem ocjene stanja i nalazima o provedbi Zakona iznesenim u ovom izvješću, Povjerenik i Ured povjerenika će u 2020. svoje djelovanje u provedbi Zakona usmjeriti na slijedeće </w:t>
      </w:r>
      <w:r w:rsidRPr="002E5315">
        <w:rPr>
          <w:b/>
          <w:bCs/>
          <w:szCs w:val="23"/>
        </w:rPr>
        <w:t>prioritete zajedničke za sva područja iz svog djelokruga (</w:t>
      </w:r>
      <w:r w:rsidRPr="002E5315">
        <w:rPr>
          <w:szCs w:val="23"/>
        </w:rPr>
        <w:t xml:space="preserve">postupanje po zahtjevima korisnika i zaštite prava te područje proaktivne objave informacija, osiguranja javnosti rada tijela te savjetovanja s javnošću): </w:t>
      </w:r>
    </w:p>
    <w:p w14:paraId="2BFD2833" w14:textId="77777777"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cs="Segoe UI"/>
          <w:sz w:val="23"/>
          <w:szCs w:val="23"/>
        </w:rPr>
        <w:t xml:space="preserve">jačanje organizacijske strukture i funkcioniranja Ureda </w:t>
      </w:r>
      <w:r w:rsidRPr="002E5315">
        <w:rPr>
          <w:rFonts w:ascii="Gill Sans MT" w:hAnsi="Gill Sans MT" w:cs="Segoe UI"/>
          <w:b/>
          <w:bCs/>
          <w:sz w:val="23"/>
          <w:szCs w:val="23"/>
        </w:rPr>
        <w:t xml:space="preserve">izmjenom Poslovnika Povjerenika za informiranje, </w:t>
      </w:r>
      <w:r w:rsidRPr="002E5315">
        <w:rPr>
          <w:rFonts w:ascii="Gill Sans MT" w:hAnsi="Gill Sans MT" w:cs="Segoe UI"/>
          <w:sz w:val="23"/>
          <w:szCs w:val="23"/>
        </w:rPr>
        <w:t>radi prilagodbe izvršenju novih zadaća i utvrđenih prioriteta</w:t>
      </w:r>
    </w:p>
    <w:p w14:paraId="6C1080A8" w14:textId="77777777"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izradu uputa i smjernica za provedbu pojedinih odredbi ZPPI-ja</w:t>
      </w:r>
      <w:r w:rsidRPr="002E5315">
        <w:rPr>
          <w:rFonts w:ascii="Gill Sans MT" w:hAnsi="Gill Sans MT"/>
          <w:sz w:val="23"/>
          <w:szCs w:val="23"/>
        </w:rPr>
        <w:t xml:space="preserve"> (osobni podaci, klasificirane informacije, pojedini segmenti proaktivne objave)</w:t>
      </w:r>
    </w:p>
    <w:p w14:paraId="618B95AC" w14:textId="77777777"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objavu sažetaka važnijih odluka i smjernica Povjerenika</w:t>
      </w:r>
      <w:r w:rsidRPr="002E5315">
        <w:rPr>
          <w:rFonts w:ascii="Gill Sans MT" w:hAnsi="Gill Sans MT"/>
          <w:sz w:val="23"/>
          <w:szCs w:val="23"/>
        </w:rPr>
        <w:t>, kako bi službenici za informiranje i korisnici na još jednostavniji i učinkovitiji način mogli koristiti praksu Povjerenika i Visokog upravnog suda RH</w:t>
      </w:r>
    </w:p>
    <w:p w14:paraId="76A32CC8" w14:textId="77777777"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nastavak edukacije po specijaliziranim – naprednim modulima</w:t>
      </w:r>
      <w:r w:rsidRPr="002E5315">
        <w:rPr>
          <w:rFonts w:ascii="Gill Sans MT" w:hAnsi="Gill Sans MT"/>
          <w:sz w:val="23"/>
          <w:szCs w:val="23"/>
        </w:rPr>
        <w:t xml:space="preserve"> edukacije za osobito složene i u provedbi prijeporne odredbe ZPPI-ja, kroz praktične vježbe</w:t>
      </w:r>
    </w:p>
    <w:p w14:paraId="5C503494" w14:textId="77777777"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 xml:space="preserve">održavanje krojenih edukacija za </w:t>
      </w:r>
      <w:r w:rsidRPr="002E5315">
        <w:rPr>
          <w:rFonts w:ascii="Gill Sans MT" w:hAnsi="Gill Sans MT"/>
          <w:sz w:val="23"/>
          <w:szCs w:val="23"/>
        </w:rPr>
        <w:t>analizirane skupine tijela javne vlasti te</w:t>
      </w:r>
      <w:r w:rsidRPr="002E5315">
        <w:rPr>
          <w:rFonts w:ascii="Gill Sans MT" w:hAnsi="Gill Sans MT"/>
          <w:b/>
          <w:bCs/>
          <w:sz w:val="23"/>
          <w:szCs w:val="23"/>
        </w:rPr>
        <w:t xml:space="preserve"> čelnike i rukovodeće službenike </w:t>
      </w:r>
    </w:p>
    <w:p w14:paraId="73EA84D9" w14:textId="42DF324F"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cs="Segoe UI"/>
          <w:b/>
          <w:bCs/>
          <w:sz w:val="23"/>
          <w:szCs w:val="23"/>
        </w:rPr>
        <w:t>održavanje</w:t>
      </w:r>
      <w:r w:rsidR="00954DB8" w:rsidRPr="002E5315">
        <w:rPr>
          <w:rFonts w:ascii="Gill Sans MT" w:hAnsi="Gill Sans MT" w:cs="Segoe UI"/>
          <w:b/>
          <w:bCs/>
          <w:sz w:val="23"/>
          <w:szCs w:val="23"/>
        </w:rPr>
        <w:t xml:space="preserve"> </w:t>
      </w:r>
      <w:r w:rsidRPr="002E5315">
        <w:rPr>
          <w:rFonts w:ascii="Gill Sans MT" w:hAnsi="Gill Sans MT" w:cs="Segoe UI"/>
          <w:b/>
          <w:bCs/>
          <w:sz w:val="23"/>
          <w:szCs w:val="23"/>
        </w:rPr>
        <w:t>godišnjeg savjetovanja službenika za informiranje</w:t>
      </w:r>
      <w:r w:rsidRPr="002E5315">
        <w:rPr>
          <w:rFonts w:ascii="Gill Sans MT" w:hAnsi="Gill Sans MT" w:cs="Segoe UI"/>
          <w:sz w:val="23"/>
          <w:szCs w:val="23"/>
        </w:rPr>
        <w:t xml:space="preserve"> i stvaranje preduvjeta za uspostavu mreže službenika za informiranje radi razmjene praktičnih znanja i harmonizacije u postupanju</w:t>
      </w:r>
    </w:p>
    <w:p w14:paraId="6E33324C" w14:textId="77777777"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cs="Segoe UI"/>
          <w:b/>
          <w:bCs/>
          <w:sz w:val="23"/>
          <w:szCs w:val="23"/>
        </w:rPr>
        <w:t>sustavno poticanje</w:t>
      </w:r>
      <w:r w:rsidRPr="002E5315">
        <w:rPr>
          <w:rFonts w:ascii="Gill Sans MT" w:hAnsi="Gill Sans MT" w:cs="Segoe UI"/>
          <w:sz w:val="23"/>
          <w:szCs w:val="23"/>
        </w:rPr>
        <w:t xml:space="preserve"> građana, udruga, medija, akademske zajednice i privatnog sektora </w:t>
      </w:r>
      <w:r w:rsidRPr="002E5315">
        <w:rPr>
          <w:rFonts w:ascii="Gill Sans MT" w:hAnsi="Gill Sans MT" w:cs="Segoe UI"/>
          <w:b/>
          <w:bCs/>
          <w:sz w:val="23"/>
          <w:szCs w:val="23"/>
        </w:rPr>
        <w:t>na sudjelovanje u postupcima savjetovanja s javnošću</w:t>
      </w:r>
    </w:p>
    <w:p w14:paraId="19FF0E91" w14:textId="599D6122" w:rsidR="009D36E2" w:rsidRPr="002E5315" w:rsidRDefault="009D36E2" w:rsidP="000114BF">
      <w:pPr>
        <w:pStyle w:val="Odlomakpopisa"/>
        <w:numPr>
          <w:ilvl w:val="0"/>
          <w:numId w:val="25"/>
        </w:numPr>
        <w:shd w:val="clear" w:color="auto" w:fill="FFFFFF"/>
        <w:tabs>
          <w:tab w:val="left" w:pos="-1843"/>
        </w:tabs>
        <w:ind w:left="993"/>
        <w:rPr>
          <w:rFonts w:ascii="Gill Sans MT" w:hAnsi="Gill Sans MT" w:cs="Segoe UI"/>
          <w:b/>
          <w:bCs/>
          <w:sz w:val="23"/>
          <w:szCs w:val="23"/>
        </w:rPr>
      </w:pPr>
      <w:r w:rsidRPr="002E5315">
        <w:rPr>
          <w:rFonts w:ascii="Gill Sans MT" w:hAnsi="Gill Sans MT" w:cs="Segoe UI"/>
          <w:b/>
          <w:bCs/>
          <w:sz w:val="23"/>
          <w:szCs w:val="23"/>
        </w:rPr>
        <w:t xml:space="preserve">jačanje </w:t>
      </w:r>
      <w:r w:rsidRPr="002E5315">
        <w:rPr>
          <w:rFonts w:ascii="Gill Sans MT" w:hAnsi="Gill Sans MT" w:cs="Segoe UI"/>
          <w:sz w:val="23"/>
          <w:szCs w:val="23"/>
        </w:rPr>
        <w:t xml:space="preserve">postojećih i uvođenje novih oblika </w:t>
      </w:r>
      <w:r w:rsidRPr="002E5315">
        <w:rPr>
          <w:rFonts w:ascii="Gill Sans MT" w:hAnsi="Gill Sans MT" w:cs="Segoe UI"/>
          <w:b/>
          <w:bCs/>
          <w:sz w:val="23"/>
          <w:szCs w:val="23"/>
        </w:rPr>
        <w:t>promotivnih aktivnosti</w:t>
      </w:r>
      <w:r w:rsidRPr="002E5315">
        <w:rPr>
          <w:rFonts w:ascii="Gill Sans MT" w:hAnsi="Gill Sans MT" w:cs="Segoe UI"/>
          <w:sz w:val="23"/>
          <w:szCs w:val="23"/>
        </w:rPr>
        <w:t xml:space="preserve"> sa svrhom što šireg korištenja ZPPI-ja</w:t>
      </w:r>
      <w:r w:rsidRPr="002E5315">
        <w:rPr>
          <w:rFonts w:ascii="Gill Sans MT" w:hAnsi="Gill Sans MT"/>
          <w:sz w:val="23"/>
          <w:szCs w:val="23"/>
        </w:rPr>
        <w:t xml:space="preserve"> </w:t>
      </w:r>
      <w:r w:rsidRPr="002E5315">
        <w:rPr>
          <w:rFonts w:ascii="Gill Sans MT" w:hAnsi="Gill Sans MT"/>
          <w:b/>
          <w:bCs/>
          <w:sz w:val="23"/>
          <w:szCs w:val="23"/>
        </w:rPr>
        <w:t>sa</w:t>
      </w:r>
      <w:r w:rsidRPr="002E5315">
        <w:rPr>
          <w:rFonts w:ascii="Gill Sans MT" w:hAnsi="Gill Sans MT"/>
          <w:sz w:val="23"/>
          <w:szCs w:val="23"/>
        </w:rPr>
        <w:t xml:space="preserve"> </w:t>
      </w:r>
      <w:r w:rsidRPr="002E5315">
        <w:rPr>
          <w:rFonts w:ascii="Gill Sans MT" w:hAnsi="Gill Sans MT"/>
          <w:b/>
          <w:bCs/>
          <w:sz w:val="23"/>
          <w:szCs w:val="23"/>
        </w:rPr>
        <w:t>naglaskom na pojedine skupine korisnika, osobito za mlade i novinare</w:t>
      </w:r>
      <w:r w:rsidRPr="002E5315">
        <w:rPr>
          <w:rFonts w:ascii="Gill Sans MT" w:hAnsi="Gill Sans MT"/>
          <w:sz w:val="23"/>
          <w:szCs w:val="23"/>
        </w:rPr>
        <w:t xml:space="preserve"> (putem webinara i prilagođenih promotivnih i edukativnih aktivnosti</w:t>
      </w:r>
      <w:r w:rsidR="00183F16" w:rsidRPr="002E5315">
        <w:rPr>
          <w:rFonts w:ascii="Gill Sans MT" w:hAnsi="Gill Sans MT"/>
          <w:sz w:val="23"/>
          <w:szCs w:val="23"/>
        </w:rPr>
        <w:t>).</w:t>
      </w:r>
    </w:p>
    <w:p w14:paraId="01388240" w14:textId="77777777" w:rsidR="00183F16" w:rsidRPr="002E5315" w:rsidRDefault="00183F16" w:rsidP="00183F16">
      <w:pPr>
        <w:pStyle w:val="Naslov2"/>
        <w:jc w:val="left"/>
      </w:pPr>
      <w:bookmarkStart w:id="130" w:name="_Toc36309016"/>
      <w:r w:rsidRPr="002E5315">
        <w:t>Postupanje po zahtjevima korisnika i zaštite prava na pristup informacijama</w:t>
      </w:r>
      <w:bookmarkEnd w:id="130"/>
      <w:r w:rsidRPr="002E5315">
        <w:t xml:space="preserve"> </w:t>
      </w:r>
    </w:p>
    <w:p w14:paraId="0E1A3435" w14:textId="64872DEB" w:rsidR="00183F16" w:rsidRPr="002E5315" w:rsidRDefault="00183F16" w:rsidP="002E30B5">
      <w:pPr>
        <w:shd w:val="clear" w:color="auto" w:fill="FFFFFF" w:themeFill="background1"/>
        <w:rPr>
          <w:szCs w:val="23"/>
        </w:rPr>
      </w:pPr>
      <w:r w:rsidRPr="002E5315">
        <w:rPr>
          <w:szCs w:val="23"/>
        </w:rPr>
        <w:t xml:space="preserve">Zbog i dalje prisutnih nepravilnosti i nezakonitosti u postupanju tijela po zahtjevima korisnika, nastavljene „šutnje uprave“ te zabrinjavajućeg trenda neizvršavanja odluka Povjerenika u postupanju po zahtjevima za pristup informacijama i zaštiti prava na pristup informacijama, </w:t>
      </w:r>
      <w:r w:rsidRPr="002E5315">
        <w:rPr>
          <w:b/>
          <w:bCs/>
          <w:szCs w:val="23"/>
        </w:rPr>
        <w:t>prioriteti djelovanja</w:t>
      </w:r>
      <w:r w:rsidRPr="002E5315">
        <w:rPr>
          <w:szCs w:val="23"/>
        </w:rPr>
        <w:t xml:space="preserve"> bit će usmjereni na sljedeće:</w:t>
      </w:r>
    </w:p>
    <w:p w14:paraId="0F45F436" w14:textId="5735E8D4" w:rsidR="002E30B5" w:rsidRPr="002E5315" w:rsidRDefault="00183F16" w:rsidP="000114BF">
      <w:pPr>
        <w:pStyle w:val="Odlomakpopisa"/>
        <w:numPr>
          <w:ilvl w:val="0"/>
          <w:numId w:val="26"/>
        </w:numPr>
        <w:shd w:val="clear" w:color="auto" w:fill="FFFFFF"/>
        <w:tabs>
          <w:tab w:val="left" w:pos="-1843"/>
        </w:tabs>
        <w:ind w:left="993"/>
        <w:rPr>
          <w:rFonts w:ascii="Gill Sans MT" w:hAnsi="Gill Sans MT" w:cs="Segoe UI"/>
          <w:b/>
          <w:bCs/>
          <w:sz w:val="23"/>
          <w:szCs w:val="23"/>
        </w:rPr>
      </w:pPr>
      <w:r w:rsidRPr="002E5315">
        <w:rPr>
          <w:rFonts w:ascii="Gill Sans MT" w:hAnsi="Gill Sans MT" w:cs="Segoe UI"/>
          <w:b/>
          <w:bCs/>
          <w:sz w:val="23"/>
          <w:szCs w:val="23"/>
        </w:rPr>
        <w:t xml:space="preserve">efikasnost u rješavanju žalbenih predmeta </w:t>
      </w:r>
      <w:r w:rsidRPr="002E5315">
        <w:rPr>
          <w:rFonts w:ascii="Gill Sans MT" w:hAnsi="Gill Sans MT" w:cs="Segoe UI"/>
          <w:sz w:val="23"/>
          <w:szCs w:val="23"/>
        </w:rPr>
        <w:t>s ciljem smanjivanja broja neriješenih</w:t>
      </w:r>
      <w:r w:rsidRPr="002E5315">
        <w:rPr>
          <w:rFonts w:ascii="Gill Sans MT" w:hAnsi="Gill Sans MT" w:cs="Segoe UI"/>
          <w:b/>
          <w:bCs/>
          <w:sz w:val="23"/>
          <w:szCs w:val="23"/>
        </w:rPr>
        <w:t xml:space="preserve"> </w:t>
      </w:r>
      <w:r w:rsidR="002E30B5" w:rsidRPr="002E5315">
        <w:rPr>
          <w:rFonts w:ascii="Gill Sans MT" w:hAnsi="Gill Sans MT" w:cs="Segoe UI"/>
          <w:sz w:val="23"/>
          <w:szCs w:val="23"/>
        </w:rPr>
        <w:t>p</w:t>
      </w:r>
      <w:r w:rsidRPr="002E5315">
        <w:rPr>
          <w:rFonts w:ascii="Gill Sans MT" w:hAnsi="Gill Sans MT" w:cs="Segoe UI"/>
          <w:sz w:val="23"/>
          <w:szCs w:val="23"/>
        </w:rPr>
        <w:t>redmeta kako bi se korisnicima omogućilo</w:t>
      </w:r>
      <w:r w:rsidR="00635378">
        <w:rPr>
          <w:rFonts w:ascii="Gill Sans MT" w:hAnsi="Gill Sans MT" w:cs="Segoe UI"/>
          <w:sz w:val="23"/>
          <w:szCs w:val="23"/>
        </w:rPr>
        <w:t xml:space="preserve"> da na </w:t>
      </w:r>
      <w:r w:rsidRPr="002E5315">
        <w:rPr>
          <w:rFonts w:ascii="Gill Sans MT" w:hAnsi="Gill Sans MT" w:cs="Segoe UI"/>
          <w:sz w:val="23"/>
          <w:szCs w:val="23"/>
        </w:rPr>
        <w:t>brži način dolaze do traženih informacija</w:t>
      </w:r>
    </w:p>
    <w:p w14:paraId="14141FBB" w14:textId="32032D18" w:rsidR="002E30B5" w:rsidRPr="002E5315" w:rsidRDefault="00183F16" w:rsidP="000114BF">
      <w:pPr>
        <w:pStyle w:val="Odlomakpopisa"/>
        <w:numPr>
          <w:ilvl w:val="0"/>
          <w:numId w:val="26"/>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izradu upute za korisnike vezano za način podnošenja žalbe,</w:t>
      </w:r>
      <w:r w:rsidRPr="002E5315">
        <w:rPr>
          <w:rFonts w:ascii="Gill Sans MT" w:hAnsi="Gill Sans MT"/>
          <w:sz w:val="23"/>
          <w:szCs w:val="23"/>
        </w:rPr>
        <w:t xml:space="preserve"> rokova računanja i druge potrebne informacije o tome kako na ispravan način podnijeti žalbu i izrada daljnjih pomoćnih obrazaca kako bi mogli na jednostavniji način ostvarivati svoja prava bez da</w:t>
      </w:r>
      <w:r w:rsidR="00954DB8" w:rsidRPr="002E5315">
        <w:rPr>
          <w:rFonts w:ascii="Gill Sans MT" w:hAnsi="Gill Sans MT"/>
          <w:sz w:val="23"/>
          <w:szCs w:val="23"/>
        </w:rPr>
        <w:t xml:space="preserve"> </w:t>
      </w:r>
      <w:r w:rsidRPr="002E5315">
        <w:rPr>
          <w:rFonts w:ascii="Gill Sans MT" w:hAnsi="Gill Sans MT"/>
          <w:sz w:val="23"/>
          <w:szCs w:val="23"/>
        </w:rPr>
        <w:t>se izlažu nepotrebnim troškovima</w:t>
      </w:r>
    </w:p>
    <w:p w14:paraId="2B0D2B06" w14:textId="77777777" w:rsidR="002E30B5" w:rsidRPr="002E5315" w:rsidRDefault="00183F16" w:rsidP="000114BF">
      <w:pPr>
        <w:pStyle w:val="Odlomakpopisa"/>
        <w:numPr>
          <w:ilvl w:val="0"/>
          <w:numId w:val="26"/>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povećani broj ciljanih inspekcijskih nadzora</w:t>
      </w:r>
      <w:r w:rsidRPr="002E5315">
        <w:rPr>
          <w:rFonts w:ascii="Gill Sans MT" w:hAnsi="Gill Sans MT"/>
          <w:sz w:val="23"/>
          <w:szCs w:val="23"/>
        </w:rPr>
        <w:t xml:space="preserve"> radi bržeg uklanjanja uočenih nepravilnosti</w:t>
      </w:r>
    </w:p>
    <w:p w14:paraId="7EE12824" w14:textId="77777777" w:rsidR="002E30B5" w:rsidRPr="002E5315" w:rsidRDefault="00183F16" w:rsidP="000114BF">
      <w:pPr>
        <w:pStyle w:val="Odlomakpopisa"/>
        <w:numPr>
          <w:ilvl w:val="0"/>
          <w:numId w:val="26"/>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periodično izvještavanje javnosti o neizvršavanju naloga Povjerenika na</w:t>
      </w:r>
      <w:r w:rsidR="002E30B5" w:rsidRPr="002E5315">
        <w:rPr>
          <w:rFonts w:ascii="Gill Sans MT" w:hAnsi="Gill Sans MT"/>
          <w:b/>
          <w:bCs/>
          <w:sz w:val="23"/>
          <w:szCs w:val="23"/>
        </w:rPr>
        <w:t xml:space="preserve"> </w:t>
      </w:r>
      <w:r w:rsidRPr="002E5315">
        <w:rPr>
          <w:rFonts w:ascii="Gill Sans MT" w:hAnsi="Gill Sans MT"/>
          <w:b/>
          <w:bCs/>
          <w:sz w:val="23"/>
          <w:szCs w:val="23"/>
        </w:rPr>
        <w:t xml:space="preserve">internetskoj stranici </w:t>
      </w:r>
      <w:hyperlink r:id="rId43" w:history="1">
        <w:r w:rsidRPr="002E5315">
          <w:rPr>
            <w:rFonts w:ascii="Gill Sans MT" w:hAnsi="Gill Sans MT"/>
            <w:b/>
            <w:bCs/>
            <w:sz w:val="23"/>
            <w:szCs w:val="23"/>
            <w:u w:val="single"/>
          </w:rPr>
          <w:t>www.pristupinfo.hr</w:t>
        </w:r>
      </w:hyperlink>
    </w:p>
    <w:p w14:paraId="12A9AA5F" w14:textId="29543C7F" w:rsidR="00183F16" w:rsidRPr="002E5315" w:rsidRDefault="00183F16" w:rsidP="000114BF">
      <w:pPr>
        <w:pStyle w:val="Odlomakpopisa"/>
        <w:numPr>
          <w:ilvl w:val="0"/>
          <w:numId w:val="26"/>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sankcioniranje</w:t>
      </w:r>
      <w:r w:rsidRPr="002E5315">
        <w:rPr>
          <w:rFonts w:ascii="Gill Sans MT" w:hAnsi="Gill Sans MT"/>
          <w:sz w:val="23"/>
          <w:szCs w:val="23"/>
        </w:rPr>
        <w:t xml:space="preserve"> tijela javne vlasti koja ne provode odluke Povjerenika</w:t>
      </w:r>
      <w:r w:rsidR="002E30B5" w:rsidRPr="002E5315">
        <w:rPr>
          <w:rFonts w:ascii="Gill Sans MT" w:hAnsi="Gill Sans MT"/>
          <w:sz w:val="23"/>
          <w:szCs w:val="23"/>
        </w:rPr>
        <w:t>.</w:t>
      </w:r>
    </w:p>
    <w:p w14:paraId="0731B1EB" w14:textId="7BFD450F" w:rsidR="0085052B" w:rsidRPr="002E5315" w:rsidRDefault="002E30B5" w:rsidP="00AB7747">
      <w:pPr>
        <w:pStyle w:val="Naslov2"/>
      </w:pPr>
      <w:bookmarkStart w:id="131" w:name="_Toc36309017"/>
      <w:r w:rsidRPr="002E5315">
        <w:t>Proaktivna objava informacija</w:t>
      </w:r>
      <w:bookmarkEnd w:id="131"/>
    </w:p>
    <w:p w14:paraId="1BB4FD47" w14:textId="43936732" w:rsidR="00EE7C48" w:rsidRPr="002E5315" w:rsidRDefault="00EE7C48" w:rsidP="00EE7C48">
      <w:pPr>
        <w:rPr>
          <w:rFonts w:cs="Segoe UI"/>
          <w:b/>
          <w:szCs w:val="23"/>
        </w:rPr>
      </w:pPr>
      <w:r w:rsidRPr="002E5315">
        <w:rPr>
          <w:rFonts w:cs="Arial"/>
          <w:bCs/>
          <w:iCs/>
          <w:szCs w:val="23"/>
        </w:rPr>
        <w:t>Praćenja cjelovite proaktivne objave informacija na regionalnoj razini nastavit će se i u tekućoj godini.</w:t>
      </w:r>
      <w:r w:rsidRPr="002E5315">
        <w:rPr>
          <w:rFonts w:cs="Arial"/>
          <w:b/>
          <w:szCs w:val="23"/>
        </w:rPr>
        <w:t xml:space="preserve"> </w:t>
      </w:r>
      <w:r w:rsidRPr="002E5315">
        <w:rPr>
          <w:rFonts w:cs="Arial"/>
          <w:szCs w:val="23"/>
        </w:rPr>
        <w:t xml:space="preserve">Kako razina ispunjenja zakonske obveze proaktivne objave pojedinih vrsta informacija nije ujednačena, intenzivnije će se provoditi specijalizirana praćenja samo pojedinih segmenata i to nad pojedinim kategorijama tijela ili na uzorku tijela. Stoga će </w:t>
      </w:r>
      <w:r w:rsidRPr="002E5315">
        <w:rPr>
          <w:rFonts w:cs="Arial"/>
          <w:b/>
          <w:szCs w:val="23"/>
        </w:rPr>
        <w:t xml:space="preserve">prioriteti djelovanja </w:t>
      </w:r>
      <w:r w:rsidRPr="002E5315">
        <w:rPr>
          <w:rFonts w:cs="Arial"/>
          <w:bCs/>
          <w:szCs w:val="23"/>
        </w:rPr>
        <w:t>biti usmjereni</w:t>
      </w:r>
      <w:r w:rsidRPr="002E5315">
        <w:rPr>
          <w:rFonts w:cs="Arial"/>
          <w:szCs w:val="23"/>
        </w:rPr>
        <w:t xml:space="preserve"> na segmente </w:t>
      </w:r>
      <w:r w:rsidRPr="002E5315">
        <w:rPr>
          <w:rFonts w:eastAsia="Calibri"/>
          <w:bCs/>
          <w:iCs/>
          <w:szCs w:val="23"/>
        </w:rPr>
        <w:t>proaktivne objave sa najnižom razinom objave i uočenim nepravilnostima</w:t>
      </w:r>
      <w:r w:rsidRPr="002E5315">
        <w:rPr>
          <w:rFonts w:cs="Segoe UI"/>
          <w:b/>
          <w:szCs w:val="23"/>
        </w:rPr>
        <w:t>:</w:t>
      </w:r>
    </w:p>
    <w:p w14:paraId="1042E285" w14:textId="0EC23584" w:rsidR="00EE7C48" w:rsidRPr="002E5315" w:rsidRDefault="00EE7C48" w:rsidP="000114BF">
      <w:pPr>
        <w:pStyle w:val="Odlomakpopisa"/>
        <w:numPr>
          <w:ilvl w:val="0"/>
          <w:numId w:val="27"/>
        </w:numPr>
        <w:shd w:val="clear" w:color="auto" w:fill="FFFFFF"/>
        <w:tabs>
          <w:tab w:val="left" w:pos="-1843"/>
        </w:tabs>
        <w:ind w:left="993"/>
        <w:rPr>
          <w:rFonts w:ascii="Gill Sans MT" w:hAnsi="Gill Sans MT" w:cs="Segoe UI"/>
          <w:b/>
          <w:bCs/>
          <w:sz w:val="23"/>
          <w:szCs w:val="23"/>
        </w:rPr>
      </w:pPr>
      <w:r w:rsidRPr="002E5315">
        <w:rPr>
          <w:rFonts w:ascii="Gill Sans MT" w:hAnsi="Gill Sans MT" w:cs="Arial"/>
          <w:b/>
          <w:bCs/>
          <w:sz w:val="23"/>
          <w:szCs w:val="23"/>
        </w:rPr>
        <w:t>praćenje objave informacija o javnim uslugama</w:t>
      </w:r>
      <w:r w:rsidRPr="002E5315">
        <w:rPr>
          <w:rFonts w:ascii="Gill Sans MT" w:hAnsi="Gill Sans MT" w:cs="Arial"/>
          <w:sz w:val="23"/>
          <w:szCs w:val="23"/>
        </w:rPr>
        <w:t xml:space="preserve"> s obrascima na lako pretraživ i lako dostupan</w:t>
      </w:r>
      <w:r w:rsidR="00954DB8" w:rsidRPr="002E5315">
        <w:rPr>
          <w:rFonts w:ascii="Gill Sans MT" w:hAnsi="Gill Sans MT" w:cs="Arial"/>
          <w:sz w:val="23"/>
          <w:szCs w:val="23"/>
        </w:rPr>
        <w:t xml:space="preserve"> </w:t>
      </w:r>
      <w:r w:rsidRPr="002E5315">
        <w:rPr>
          <w:rFonts w:ascii="Gill Sans MT" w:hAnsi="Gill Sans MT" w:cs="Arial"/>
          <w:sz w:val="23"/>
          <w:szCs w:val="23"/>
        </w:rPr>
        <w:t>način</w:t>
      </w:r>
    </w:p>
    <w:p w14:paraId="29D534ED" w14:textId="142B0D34" w:rsidR="0085052B" w:rsidRPr="002E5315" w:rsidRDefault="00EE7C48" w:rsidP="000114BF">
      <w:pPr>
        <w:pStyle w:val="Odlomakpopisa"/>
        <w:numPr>
          <w:ilvl w:val="0"/>
          <w:numId w:val="27"/>
        </w:numPr>
        <w:shd w:val="clear" w:color="auto" w:fill="FFFFFF"/>
        <w:tabs>
          <w:tab w:val="left" w:pos="-1843"/>
        </w:tabs>
        <w:ind w:left="993"/>
        <w:rPr>
          <w:rFonts w:ascii="Gill Sans MT" w:hAnsi="Gill Sans MT" w:cs="Segoe UI"/>
          <w:b/>
          <w:bCs/>
          <w:sz w:val="23"/>
          <w:szCs w:val="23"/>
        </w:rPr>
      </w:pPr>
      <w:r w:rsidRPr="002E5315">
        <w:rPr>
          <w:rFonts w:ascii="Gill Sans MT" w:hAnsi="Gill Sans MT" w:cs="Arial"/>
          <w:b/>
          <w:bCs/>
          <w:sz w:val="23"/>
          <w:szCs w:val="23"/>
        </w:rPr>
        <w:t>praćenje objave informacija o ustrojstvu i kontakt podacima</w:t>
      </w:r>
      <w:r w:rsidRPr="002E5315">
        <w:rPr>
          <w:rFonts w:ascii="Gill Sans MT" w:hAnsi="Gill Sans MT" w:cs="Arial"/>
          <w:sz w:val="23"/>
          <w:szCs w:val="23"/>
        </w:rPr>
        <w:t xml:space="preserve"> </w:t>
      </w:r>
      <w:r w:rsidRPr="002E5315">
        <w:rPr>
          <w:rFonts w:ascii="Gill Sans MT" w:hAnsi="Gill Sans MT" w:cs="Arial"/>
          <w:b/>
          <w:bCs/>
          <w:sz w:val="23"/>
          <w:szCs w:val="23"/>
        </w:rPr>
        <w:t>čelnika tijela i rukovodećih službenika</w:t>
      </w:r>
      <w:r w:rsidRPr="002E5315">
        <w:rPr>
          <w:rFonts w:ascii="Gill Sans MT" w:hAnsi="Gill Sans MT" w:cs="Segoe UI"/>
          <w:b/>
          <w:bCs/>
          <w:sz w:val="23"/>
          <w:szCs w:val="23"/>
        </w:rPr>
        <w:t>.</w:t>
      </w:r>
    </w:p>
    <w:p w14:paraId="735C2EC1" w14:textId="26E90915" w:rsidR="0085052B" w:rsidRPr="002E5315" w:rsidRDefault="00EE7C48" w:rsidP="00AB7747">
      <w:pPr>
        <w:pStyle w:val="Naslov2"/>
      </w:pPr>
      <w:bookmarkStart w:id="132" w:name="_Toc36309018"/>
      <w:r w:rsidRPr="002E5315">
        <w:t>Osiguranje javnosti rada</w:t>
      </w:r>
      <w:bookmarkEnd w:id="132"/>
    </w:p>
    <w:p w14:paraId="71663FD0" w14:textId="425A4CAA" w:rsidR="00EE7C48" w:rsidRPr="00C6661E" w:rsidRDefault="00EE7C48" w:rsidP="00EE7C48">
      <w:pPr>
        <w:contextualSpacing/>
        <w:rPr>
          <w:rFonts w:cs="Arial"/>
          <w:bCs/>
          <w:iCs/>
          <w:szCs w:val="23"/>
        </w:rPr>
      </w:pPr>
      <w:r w:rsidRPr="002E5315">
        <w:rPr>
          <w:szCs w:val="23"/>
        </w:rPr>
        <w:t xml:space="preserve">Nerazumijevanje zakonske obveze javnosti rada bile su najizraženije kod trgovačkih društava i ustanova, što je bio razlog za davanje načelnih smjernica Povjerenika koje se odnose na trgovačka društva i školske ustanove. </w:t>
      </w:r>
      <w:r w:rsidRPr="002E5315">
        <w:rPr>
          <w:rFonts w:cs="Arial"/>
          <w:szCs w:val="23"/>
        </w:rPr>
        <w:t>Stoga će,</w:t>
      </w:r>
      <w:r w:rsidR="00954DB8" w:rsidRPr="002E5315">
        <w:rPr>
          <w:rFonts w:cs="Arial"/>
          <w:szCs w:val="23"/>
        </w:rPr>
        <w:t xml:space="preserve"> </w:t>
      </w:r>
      <w:r w:rsidRPr="002E5315">
        <w:rPr>
          <w:bCs/>
          <w:iCs/>
          <w:szCs w:val="23"/>
        </w:rPr>
        <w:t>osim standardiziranih praćenja javnosti rada na nacionalnoj i regionalnoj razini,</w:t>
      </w:r>
      <w:r w:rsidR="00954DB8" w:rsidRPr="002E5315">
        <w:rPr>
          <w:bCs/>
          <w:iCs/>
          <w:szCs w:val="23"/>
        </w:rPr>
        <w:t xml:space="preserve"> </w:t>
      </w:r>
      <w:r w:rsidRPr="002E5315">
        <w:rPr>
          <w:rFonts w:cs="Arial"/>
          <w:b/>
          <w:iCs/>
          <w:szCs w:val="23"/>
        </w:rPr>
        <w:t>prioriteti djelovanja</w:t>
      </w:r>
      <w:r w:rsidRPr="002E5315">
        <w:rPr>
          <w:rFonts w:cs="Arial"/>
          <w:bCs/>
          <w:iCs/>
          <w:szCs w:val="23"/>
        </w:rPr>
        <w:t xml:space="preserve"> biti usmjereni na:</w:t>
      </w:r>
    </w:p>
    <w:p w14:paraId="086F74AD" w14:textId="77777777" w:rsidR="00EE7C48" w:rsidRPr="002E5315" w:rsidRDefault="00EE7C48" w:rsidP="000114BF">
      <w:pPr>
        <w:pStyle w:val="Odlomakpopisa"/>
        <w:numPr>
          <w:ilvl w:val="0"/>
          <w:numId w:val="28"/>
        </w:numPr>
        <w:shd w:val="clear" w:color="auto" w:fill="FFFFFF"/>
        <w:tabs>
          <w:tab w:val="left" w:pos="-1843"/>
        </w:tabs>
        <w:ind w:left="993"/>
        <w:rPr>
          <w:rFonts w:ascii="Gill Sans MT" w:hAnsi="Gill Sans MT" w:cs="Segoe UI"/>
          <w:b/>
          <w:bCs/>
          <w:sz w:val="23"/>
          <w:szCs w:val="23"/>
        </w:rPr>
      </w:pPr>
      <w:r w:rsidRPr="002E5315">
        <w:rPr>
          <w:rFonts w:ascii="Gill Sans MT" w:hAnsi="Gill Sans MT" w:cs="Arial"/>
          <w:b/>
          <w:bCs/>
          <w:sz w:val="23"/>
          <w:szCs w:val="23"/>
        </w:rPr>
        <w:t>praćenje objave informacija o radu skupština, nadzornih odbora i drugih kolegijalnih tijela /upravljačkih tijela</w:t>
      </w:r>
      <w:r w:rsidRPr="002E5315">
        <w:rPr>
          <w:rFonts w:ascii="Gill Sans MT" w:hAnsi="Gill Sans MT" w:cs="Arial"/>
          <w:sz w:val="23"/>
          <w:szCs w:val="23"/>
        </w:rPr>
        <w:t xml:space="preserve"> </w:t>
      </w:r>
      <w:r w:rsidRPr="002E5315">
        <w:rPr>
          <w:rFonts w:ascii="Gill Sans MT" w:hAnsi="Gill Sans MT" w:cs="Arial"/>
          <w:b/>
          <w:bCs/>
          <w:sz w:val="23"/>
          <w:szCs w:val="23"/>
        </w:rPr>
        <w:t>trgovačkih društava</w:t>
      </w:r>
      <w:r w:rsidRPr="002E5315">
        <w:rPr>
          <w:rFonts w:ascii="Gill Sans MT" w:hAnsi="Gill Sans MT" w:cs="Arial"/>
          <w:sz w:val="23"/>
          <w:szCs w:val="23"/>
        </w:rPr>
        <w:t xml:space="preserve"> u odnosu na članak12. ZPPI-ja</w:t>
      </w:r>
    </w:p>
    <w:p w14:paraId="4394BE60" w14:textId="067DA7A2" w:rsidR="0085052B" w:rsidRPr="002E5315" w:rsidRDefault="00EE7C48" w:rsidP="000114BF">
      <w:pPr>
        <w:pStyle w:val="Odlomakpopisa"/>
        <w:numPr>
          <w:ilvl w:val="0"/>
          <w:numId w:val="28"/>
        </w:numPr>
        <w:shd w:val="clear" w:color="auto" w:fill="FFFFFF"/>
        <w:tabs>
          <w:tab w:val="left" w:pos="-1843"/>
        </w:tabs>
        <w:ind w:left="993"/>
        <w:rPr>
          <w:rFonts w:ascii="Gill Sans MT" w:hAnsi="Gill Sans MT" w:cs="Segoe UI"/>
          <w:b/>
          <w:bCs/>
          <w:sz w:val="23"/>
          <w:szCs w:val="23"/>
        </w:rPr>
      </w:pPr>
      <w:r w:rsidRPr="002E5315">
        <w:rPr>
          <w:rFonts w:ascii="Gill Sans MT" w:hAnsi="Gill Sans MT" w:cs="Arial"/>
          <w:b/>
          <w:bCs/>
          <w:sz w:val="23"/>
          <w:szCs w:val="23"/>
        </w:rPr>
        <w:t>praćenje objave informacija o radu školskih odbora</w:t>
      </w:r>
      <w:r w:rsidRPr="002E5315">
        <w:rPr>
          <w:rFonts w:ascii="Gill Sans MT" w:hAnsi="Gill Sans MT" w:cs="Arial"/>
          <w:sz w:val="23"/>
          <w:szCs w:val="23"/>
        </w:rPr>
        <w:t xml:space="preserve"> u odnosu na članak 12. ZPPI-ja.</w:t>
      </w:r>
    </w:p>
    <w:p w14:paraId="1EB412CC" w14:textId="111BB4A7" w:rsidR="0085052B" w:rsidRPr="002E5315" w:rsidRDefault="00931BE3" w:rsidP="00AB7747">
      <w:pPr>
        <w:pStyle w:val="Naslov2"/>
      </w:pPr>
      <w:bookmarkStart w:id="133" w:name="_Toc36309019"/>
      <w:r w:rsidRPr="002E5315">
        <w:t>Savjetovanje s javnošću</w:t>
      </w:r>
      <w:bookmarkEnd w:id="133"/>
    </w:p>
    <w:p w14:paraId="3DFD86DA" w14:textId="72089A3F" w:rsidR="00931BE3" w:rsidRPr="002E5315" w:rsidRDefault="00931BE3" w:rsidP="00931BE3">
      <w:pPr>
        <w:contextualSpacing/>
        <w:rPr>
          <w:rFonts w:cs="Segoe UI"/>
          <w:b/>
          <w:szCs w:val="23"/>
        </w:rPr>
      </w:pPr>
      <w:r w:rsidRPr="002E5315">
        <w:rPr>
          <w:szCs w:val="23"/>
        </w:rPr>
        <w:t xml:space="preserve">Provedba savjetovanja s javnošću sve više postaje standard, obvezan obrazac postupanja tijela pri donošenju akata i dokumenata kojima se utječe na interese građana. Međutim kvaliteta izvedbe ciklusa savjetovanja nije zadovoljavajuća. </w:t>
      </w:r>
      <w:r w:rsidRPr="002E5315">
        <w:rPr>
          <w:bCs/>
          <w:iCs/>
          <w:szCs w:val="23"/>
        </w:rPr>
        <w:t xml:space="preserve">Osim standardiziranih praćenja savjetovanja na nacionalnoj i regionalnoj razini </w:t>
      </w:r>
      <w:r w:rsidRPr="002E5315">
        <w:rPr>
          <w:szCs w:val="23"/>
        </w:rPr>
        <w:t xml:space="preserve">te inzistiranja na postupanju po smjernicma Povjerenika za provedbu savjetovanja u nepreciznim odredbama ZPPI-ja, a </w:t>
      </w:r>
      <w:r w:rsidRPr="002E5315">
        <w:rPr>
          <w:rFonts w:eastAsia="Calibri"/>
          <w:szCs w:val="23"/>
        </w:rPr>
        <w:t xml:space="preserve">radi postizanja veće kvalitete provedbe savjetovanja s javnošću, </w:t>
      </w:r>
      <w:r w:rsidRPr="002E5315">
        <w:rPr>
          <w:rFonts w:cs="Segoe UI"/>
          <w:b/>
          <w:szCs w:val="23"/>
        </w:rPr>
        <w:t>prioriteti djelovanja</w:t>
      </w:r>
      <w:r w:rsidRPr="002E5315">
        <w:rPr>
          <w:rFonts w:cs="Segoe UI"/>
          <w:szCs w:val="23"/>
        </w:rPr>
        <w:t xml:space="preserve"> će biti</w:t>
      </w:r>
      <w:r w:rsidRPr="002E5315">
        <w:rPr>
          <w:rFonts w:cs="Segoe UI"/>
          <w:b/>
          <w:szCs w:val="23"/>
        </w:rPr>
        <w:t>:</w:t>
      </w:r>
    </w:p>
    <w:p w14:paraId="0E81801F" w14:textId="77777777" w:rsidR="00931BE3" w:rsidRPr="002E5315" w:rsidRDefault="00931BE3" w:rsidP="000114BF">
      <w:pPr>
        <w:pStyle w:val="Odlomakpopisa"/>
        <w:numPr>
          <w:ilvl w:val="0"/>
          <w:numId w:val="29"/>
        </w:numPr>
        <w:shd w:val="clear" w:color="auto" w:fill="FFFFFF"/>
        <w:tabs>
          <w:tab w:val="left" w:pos="-1843"/>
        </w:tabs>
        <w:ind w:left="993"/>
        <w:rPr>
          <w:rFonts w:ascii="Gill Sans MT" w:hAnsi="Gill Sans MT" w:cs="Segoe UI"/>
          <w:b/>
          <w:bCs/>
          <w:sz w:val="23"/>
          <w:szCs w:val="23"/>
        </w:rPr>
      </w:pPr>
      <w:r w:rsidRPr="002E5315">
        <w:rPr>
          <w:rFonts w:ascii="Gill Sans MT" w:eastAsia="Calibri" w:hAnsi="Gill Sans MT"/>
          <w:b/>
          <w:bCs/>
          <w:sz w:val="23"/>
          <w:szCs w:val="23"/>
        </w:rPr>
        <w:t>praćenje provedbe ciklusa savjetovanja odabranih tijela</w:t>
      </w:r>
      <w:r w:rsidRPr="002E5315">
        <w:rPr>
          <w:rFonts w:ascii="Gill Sans MT" w:eastAsia="Calibri" w:hAnsi="Gill Sans MT"/>
          <w:sz w:val="23"/>
          <w:szCs w:val="23"/>
        </w:rPr>
        <w:t xml:space="preserve"> (od donošenja plana savjetovanja, provedbe savjetovanja do izrade izvješća)</w:t>
      </w:r>
    </w:p>
    <w:p w14:paraId="49EBECAD" w14:textId="54EDD391" w:rsidR="0085052B" w:rsidRPr="002E5315" w:rsidRDefault="00931BE3" w:rsidP="000114BF">
      <w:pPr>
        <w:pStyle w:val="Odlomakpopisa"/>
        <w:numPr>
          <w:ilvl w:val="0"/>
          <w:numId w:val="29"/>
        </w:numPr>
        <w:shd w:val="clear" w:color="auto" w:fill="FFFFFF"/>
        <w:tabs>
          <w:tab w:val="left" w:pos="-1843"/>
        </w:tabs>
        <w:ind w:left="993"/>
        <w:rPr>
          <w:rFonts w:ascii="Gill Sans MT" w:hAnsi="Gill Sans MT" w:cs="Segoe UI"/>
          <w:b/>
          <w:bCs/>
          <w:sz w:val="23"/>
          <w:szCs w:val="23"/>
        </w:rPr>
      </w:pPr>
      <w:r w:rsidRPr="002E5315">
        <w:rPr>
          <w:rFonts w:ascii="Gill Sans MT" w:eastAsia="Calibri" w:hAnsi="Gill Sans MT"/>
          <w:b/>
          <w:bCs/>
          <w:sz w:val="23"/>
          <w:szCs w:val="23"/>
        </w:rPr>
        <w:t>praćenje objave Plana savjetovanja</w:t>
      </w:r>
      <w:r w:rsidRPr="002E5315">
        <w:rPr>
          <w:rFonts w:ascii="Gill Sans MT" w:eastAsia="Calibri" w:hAnsi="Gill Sans MT"/>
          <w:sz w:val="23"/>
          <w:szCs w:val="23"/>
        </w:rPr>
        <w:t xml:space="preserve"> na određenom uzorku tijela javne vlasti.</w:t>
      </w:r>
    </w:p>
    <w:p w14:paraId="09C401E8" w14:textId="29A1C908" w:rsidR="0085052B" w:rsidRPr="002E5315" w:rsidRDefault="009437FF" w:rsidP="00AB7747">
      <w:pPr>
        <w:pStyle w:val="Naslov2"/>
      </w:pPr>
      <w:bookmarkStart w:id="134" w:name="_Toc36309020"/>
      <w:r w:rsidRPr="002E5315">
        <w:t>Ponovna uporaba informacija</w:t>
      </w:r>
      <w:bookmarkEnd w:id="134"/>
    </w:p>
    <w:p w14:paraId="0F74EB8C" w14:textId="1CAED16D" w:rsidR="009437FF" w:rsidRPr="002E5315" w:rsidRDefault="009437FF" w:rsidP="006D6D15">
      <w:pPr>
        <w:rPr>
          <w:szCs w:val="23"/>
        </w:rPr>
      </w:pPr>
      <w:r w:rsidRPr="002E5315">
        <w:t>Neispunjavanje zakonske obveze objave popisa skupova podataka te registara i baza podataka pogodnih za ponovnu up</w:t>
      </w:r>
      <w:r w:rsidR="00C6661E">
        <w:t>o</w:t>
      </w:r>
      <w:r w:rsidRPr="002E5315">
        <w:t xml:space="preserve">rabu, kao i nerazumijevanje režima ponovne uporabe </w:t>
      </w:r>
      <w:r w:rsidRPr="002E5315">
        <w:rPr>
          <w:bCs/>
          <w:iCs/>
        </w:rPr>
        <w:t xml:space="preserve">osim </w:t>
      </w:r>
      <w:r w:rsidRPr="002E5315">
        <w:rPr>
          <w:bCs/>
          <w:iCs/>
          <w:szCs w:val="23"/>
        </w:rPr>
        <w:t>standardiziranih praćenja i preporuka, osnažiti će se određivanjem</w:t>
      </w:r>
      <w:r w:rsidR="00954DB8" w:rsidRPr="002E5315">
        <w:rPr>
          <w:bCs/>
          <w:iCs/>
          <w:szCs w:val="23"/>
        </w:rPr>
        <w:t xml:space="preserve"> </w:t>
      </w:r>
      <w:r w:rsidRPr="002E5315">
        <w:rPr>
          <w:b/>
          <w:szCs w:val="23"/>
        </w:rPr>
        <w:t>prioriteta djelovanja</w:t>
      </w:r>
      <w:r w:rsidRPr="002E5315">
        <w:rPr>
          <w:szCs w:val="23"/>
        </w:rPr>
        <w:t>:</w:t>
      </w:r>
    </w:p>
    <w:p w14:paraId="29122ACB" w14:textId="77777777" w:rsidR="009437FF" w:rsidRPr="002E5315" w:rsidRDefault="009437FF" w:rsidP="000114BF">
      <w:pPr>
        <w:pStyle w:val="Odlomakpopisa"/>
        <w:numPr>
          <w:ilvl w:val="0"/>
          <w:numId w:val="30"/>
        </w:numPr>
        <w:shd w:val="clear" w:color="auto" w:fill="FFFFFF"/>
        <w:tabs>
          <w:tab w:val="left" w:pos="-1843"/>
        </w:tabs>
        <w:ind w:left="993"/>
        <w:rPr>
          <w:rFonts w:ascii="Gill Sans MT" w:hAnsi="Gill Sans MT" w:cs="Segoe UI"/>
          <w:b/>
          <w:bCs/>
          <w:sz w:val="23"/>
          <w:szCs w:val="23"/>
        </w:rPr>
      </w:pPr>
      <w:r w:rsidRPr="002E5315">
        <w:rPr>
          <w:rFonts w:ascii="Gill Sans MT" w:hAnsi="Gill Sans MT" w:cs="Arial"/>
          <w:b/>
          <w:bCs/>
          <w:sz w:val="23"/>
          <w:szCs w:val="23"/>
        </w:rPr>
        <w:t xml:space="preserve">praćenje objave popisa registara i baza podataka </w:t>
      </w:r>
      <w:r w:rsidRPr="002E5315">
        <w:rPr>
          <w:rFonts w:ascii="Gill Sans MT" w:hAnsi="Gill Sans MT" w:cs="Segoe UI"/>
          <w:b/>
          <w:bCs/>
          <w:sz w:val="23"/>
          <w:szCs w:val="23"/>
        </w:rPr>
        <w:t>s metapodacima</w:t>
      </w:r>
      <w:r w:rsidRPr="002E5315">
        <w:rPr>
          <w:rFonts w:ascii="Gill Sans MT" w:hAnsi="Gill Sans MT" w:cs="Segoe UI"/>
          <w:sz w:val="23"/>
          <w:szCs w:val="23"/>
        </w:rPr>
        <w:t xml:space="preserve"> i načinom pristupa i ponovne uporabe</w:t>
      </w:r>
      <w:r w:rsidRPr="002E5315">
        <w:rPr>
          <w:rFonts w:ascii="Gill Sans MT" w:hAnsi="Gill Sans MT" w:cs="Arial"/>
          <w:sz w:val="23"/>
          <w:szCs w:val="23"/>
        </w:rPr>
        <w:t xml:space="preserve"> (asset lista)</w:t>
      </w:r>
    </w:p>
    <w:p w14:paraId="358BA11E" w14:textId="6503A594" w:rsidR="0085052B" w:rsidRPr="002E5315" w:rsidRDefault="009437FF" w:rsidP="000114BF">
      <w:pPr>
        <w:pStyle w:val="Odlomakpopisa"/>
        <w:numPr>
          <w:ilvl w:val="0"/>
          <w:numId w:val="30"/>
        </w:numPr>
        <w:shd w:val="clear" w:color="auto" w:fill="FFFFFF"/>
        <w:tabs>
          <w:tab w:val="left" w:pos="-1843"/>
        </w:tabs>
        <w:ind w:left="993"/>
        <w:rPr>
          <w:rFonts w:ascii="Gill Sans MT" w:hAnsi="Gill Sans MT" w:cs="Segoe UI"/>
          <w:b/>
          <w:bCs/>
          <w:sz w:val="23"/>
          <w:szCs w:val="23"/>
        </w:rPr>
      </w:pPr>
      <w:r w:rsidRPr="002E5315">
        <w:rPr>
          <w:rFonts w:ascii="Gill Sans MT" w:hAnsi="Gill Sans MT" w:cs="Arial"/>
          <w:b/>
          <w:bCs/>
          <w:sz w:val="23"/>
          <w:szCs w:val="23"/>
        </w:rPr>
        <w:t>praćenje postupanja po preporukama danim središnjim tijelima</w:t>
      </w:r>
      <w:r w:rsidRPr="002E5315">
        <w:rPr>
          <w:rFonts w:ascii="Gill Sans MT" w:hAnsi="Gill Sans MT" w:cs="Arial"/>
          <w:sz w:val="23"/>
          <w:szCs w:val="23"/>
        </w:rPr>
        <w:t xml:space="preserve"> kroz analitičko izvješće o analiziranim skupovima podataka po upravnim</w:t>
      </w:r>
      <w:r w:rsidRPr="002E5315">
        <w:rPr>
          <w:rFonts w:ascii="Gill Sans MT" w:hAnsi="Gill Sans MT"/>
          <w:sz w:val="23"/>
          <w:szCs w:val="23"/>
        </w:rPr>
        <w:t xml:space="preserve"> područjima.</w:t>
      </w:r>
    </w:p>
    <w:p w14:paraId="6EDBA099" w14:textId="56F70DB3" w:rsidR="00335290" w:rsidRPr="002E5315" w:rsidRDefault="00335290" w:rsidP="00335290">
      <w:pPr>
        <w:pStyle w:val="Naslov2"/>
      </w:pPr>
      <w:bookmarkStart w:id="135" w:name="_Toc36309021"/>
      <w:r w:rsidRPr="002E5315">
        <w:t>Ostale aktivnosti – osiguranje pristupačnosti</w:t>
      </w:r>
      <w:bookmarkEnd w:id="135"/>
    </w:p>
    <w:p w14:paraId="7AAD1114" w14:textId="4381381C" w:rsidR="00335290" w:rsidRPr="002E5315" w:rsidRDefault="00335290" w:rsidP="00335290">
      <w:pPr>
        <w:rPr>
          <w:b/>
          <w:bCs/>
          <w:szCs w:val="23"/>
        </w:rPr>
      </w:pPr>
      <w:r w:rsidRPr="002E5315">
        <w:t xml:space="preserve">Zakonom o pristupačnosti mrežnih stanica i programskih rješenja za pokretne uređaje tijela javnog </w:t>
      </w:r>
      <w:r w:rsidRPr="002E5315">
        <w:rPr>
          <w:szCs w:val="23"/>
        </w:rPr>
        <w:t>sektora 23.</w:t>
      </w:r>
      <w:r w:rsidR="004C2039">
        <w:rPr>
          <w:szCs w:val="23"/>
        </w:rPr>
        <w:t xml:space="preserve"> </w:t>
      </w:r>
      <w:r w:rsidR="004F0283">
        <w:rPr>
          <w:szCs w:val="23"/>
        </w:rPr>
        <w:t>rujna</w:t>
      </w:r>
      <w:r w:rsidRPr="002E5315">
        <w:rPr>
          <w:szCs w:val="23"/>
        </w:rPr>
        <w:t xml:space="preserve"> 20</w:t>
      </w:r>
      <w:r w:rsidR="004C2039">
        <w:rPr>
          <w:szCs w:val="23"/>
        </w:rPr>
        <w:t>2</w:t>
      </w:r>
      <w:r w:rsidRPr="002E5315">
        <w:rPr>
          <w:szCs w:val="23"/>
        </w:rPr>
        <w:t xml:space="preserve">0. utvrđen je kao krajnji rok tijelima javnog sektora za prilagodbu pristupačnosti mrežnih stanica, a prvo razdoblje praćenja nadzornim tijelima je 01. siječnja 2020. do 22. prosinca 2021. Slijedom toga </w:t>
      </w:r>
      <w:r w:rsidRPr="002E5315">
        <w:rPr>
          <w:b/>
          <w:bCs/>
          <w:szCs w:val="23"/>
        </w:rPr>
        <w:t xml:space="preserve">prioriteti djelovanja </w:t>
      </w:r>
      <w:r w:rsidRPr="002E5315">
        <w:rPr>
          <w:szCs w:val="23"/>
        </w:rPr>
        <w:t>će biti</w:t>
      </w:r>
      <w:r w:rsidRPr="002E5315">
        <w:rPr>
          <w:b/>
          <w:bCs/>
          <w:szCs w:val="23"/>
        </w:rPr>
        <w:t>:</w:t>
      </w:r>
    </w:p>
    <w:p w14:paraId="006AE18A" w14:textId="4ED949DA" w:rsidR="00335290" w:rsidRPr="002E5315" w:rsidRDefault="00335290" w:rsidP="000114BF">
      <w:pPr>
        <w:pStyle w:val="Odlomakpopisa"/>
        <w:numPr>
          <w:ilvl w:val="0"/>
          <w:numId w:val="31"/>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praćenje usklađenosti mrežnih stranica tijela javnog sektora</w:t>
      </w:r>
      <w:r w:rsidRPr="002E5315">
        <w:rPr>
          <w:rFonts w:ascii="Gill Sans MT" w:hAnsi="Gill Sans MT"/>
          <w:sz w:val="23"/>
          <w:szCs w:val="23"/>
        </w:rPr>
        <w:t xml:space="preserve"> sa zahtjevima pristupačnosti</w:t>
      </w:r>
      <w:r w:rsidR="00954DB8" w:rsidRPr="002E5315">
        <w:rPr>
          <w:rFonts w:ascii="Gill Sans MT" w:hAnsi="Gill Sans MT"/>
          <w:sz w:val="23"/>
          <w:szCs w:val="23"/>
        </w:rPr>
        <w:t xml:space="preserve"> </w:t>
      </w:r>
      <w:r w:rsidRPr="002E5315">
        <w:rPr>
          <w:rFonts w:ascii="Gill Sans MT" w:hAnsi="Gill Sans MT"/>
          <w:sz w:val="23"/>
          <w:szCs w:val="23"/>
        </w:rPr>
        <w:t>prema zadanom uzorku</w:t>
      </w:r>
    </w:p>
    <w:p w14:paraId="05A2F5BC" w14:textId="77777777" w:rsidR="00335290" w:rsidRPr="002E5315" w:rsidRDefault="00335290" w:rsidP="000114BF">
      <w:pPr>
        <w:pStyle w:val="Odlomakpopisa"/>
        <w:numPr>
          <w:ilvl w:val="0"/>
          <w:numId w:val="31"/>
        </w:numPr>
        <w:shd w:val="clear" w:color="auto" w:fill="FFFFFF"/>
        <w:tabs>
          <w:tab w:val="left" w:pos="-1843"/>
        </w:tabs>
        <w:ind w:left="993"/>
        <w:rPr>
          <w:rFonts w:ascii="Gill Sans MT" w:hAnsi="Gill Sans MT" w:cs="Segoe UI"/>
          <w:b/>
          <w:bCs/>
          <w:sz w:val="23"/>
          <w:szCs w:val="23"/>
        </w:rPr>
      </w:pPr>
      <w:r w:rsidRPr="002E5315">
        <w:rPr>
          <w:rFonts w:ascii="Gill Sans MT" w:hAnsi="Gill Sans MT"/>
          <w:sz w:val="23"/>
          <w:szCs w:val="23"/>
        </w:rPr>
        <w:t xml:space="preserve">preliminarno </w:t>
      </w:r>
      <w:r w:rsidRPr="002E5315">
        <w:rPr>
          <w:rFonts w:ascii="Gill Sans MT" w:hAnsi="Gill Sans MT"/>
          <w:b/>
          <w:bCs/>
          <w:sz w:val="23"/>
          <w:szCs w:val="23"/>
        </w:rPr>
        <w:t>praćenje objave izjava o pristupačnosti</w:t>
      </w:r>
      <w:r w:rsidRPr="002E5315">
        <w:rPr>
          <w:rFonts w:ascii="Gill Sans MT" w:hAnsi="Gill Sans MT"/>
          <w:sz w:val="23"/>
          <w:szCs w:val="23"/>
        </w:rPr>
        <w:t xml:space="preserve"> tijela javnog sektora</w:t>
      </w:r>
    </w:p>
    <w:p w14:paraId="57F40185" w14:textId="6A5F398E" w:rsidR="00335290" w:rsidRPr="002E5315" w:rsidRDefault="00335290" w:rsidP="000114BF">
      <w:pPr>
        <w:pStyle w:val="Odlomakpopisa"/>
        <w:numPr>
          <w:ilvl w:val="0"/>
          <w:numId w:val="31"/>
        </w:numPr>
        <w:shd w:val="clear" w:color="auto" w:fill="FFFFFF"/>
        <w:tabs>
          <w:tab w:val="left" w:pos="-1843"/>
        </w:tabs>
        <w:ind w:left="993"/>
        <w:rPr>
          <w:rFonts w:ascii="Gill Sans MT" w:hAnsi="Gill Sans MT" w:cs="Segoe UI"/>
          <w:b/>
          <w:bCs/>
          <w:sz w:val="23"/>
          <w:szCs w:val="23"/>
        </w:rPr>
      </w:pPr>
      <w:r w:rsidRPr="002E5315">
        <w:rPr>
          <w:rFonts w:ascii="Gill Sans MT" w:hAnsi="Gill Sans MT"/>
          <w:b/>
          <w:bCs/>
          <w:sz w:val="23"/>
          <w:szCs w:val="23"/>
        </w:rPr>
        <w:t>priprema podataka za potrebe izvješćivanja Europske komisije.</w:t>
      </w:r>
    </w:p>
    <w:p w14:paraId="424F6D7B" w14:textId="640A2D9D" w:rsidR="0085052B" w:rsidRPr="002E5315" w:rsidRDefault="0085052B" w:rsidP="0055512D">
      <w:pPr>
        <w:pStyle w:val="Naslov1"/>
        <w:jc w:val="left"/>
      </w:pPr>
      <w:bookmarkStart w:id="136" w:name="_Toc36309022"/>
      <w:r w:rsidRPr="002E5315">
        <w:t>Prijedlozi i preporuke za otklanjanje nedostataka i nepravilnosti</w:t>
      </w:r>
      <w:bookmarkEnd w:id="136"/>
    </w:p>
    <w:p w14:paraId="647BFBDF" w14:textId="70A80A27" w:rsidR="00335290" w:rsidRPr="002E5315" w:rsidRDefault="00335290" w:rsidP="006D6D15">
      <w:pPr>
        <w:rPr>
          <w:b/>
        </w:rPr>
      </w:pPr>
      <w:r w:rsidRPr="002E5315">
        <w:t>Ocjena stanja u provedbi Zakona te nalazi o tome prikazani u ovom Izvješću podloga su za prijedlog poboljšanja stanja provedbe Zakona u 2020. i razdoblju koje slijedi. Važno je naglasiti da</w:t>
      </w:r>
      <w:r w:rsidR="00954DB8" w:rsidRPr="002E5315">
        <w:t xml:space="preserve"> </w:t>
      </w:r>
      <w:r w:rsidRPr="002E5315">
        <w:t>su u prioritetima djelovanja Povjerenika i Ureda povjerenika u 2020. sadržani načini i mjere za poboljšanje stanja u svim područjima</w:t>
      </w:r>
      <w:r w:rsidR="00954DB8" w:rsidRPr="002E5315">
        <w:t xml:space="preserve"> </w:t>
      </w:r>
      <w:r w:rsidRPr="002E5315">
        <w:t>prava na pristup informacijama, što znači da su već i sami prioriteti djelovanja Povjerenika i Ureda povjerenika svojevrsni prijedlozi i preporuke za otklanjanje nedostataka i nepravilnosti. U nastavku se stoga ističu još i</w:t>
      </w:r>
      <w:r w:rsidRPr="002E5315">
        <w:rPr>
          <w:b/>
        </w:rPr>
        <w:t xml:space="preserve"> dodatni prijedlozi i preporuke za otklanjanje nedostataka i nepravilnosti i to oni upućeni tijelima javne vlasti te oni koji bi se trebali ostvariti noveliranjem Zakona.</w:t>
      </w:r>
    </w:p>
    <w:p w14:paraId="1F9C5385" w14:textId="63881BDD" w:rsidR="0085052B" w:rsidRPr="002E5315" w:rsidRDefault="00335290" w:rsidP="00335290">
      <w:r w:rsidRPr="002E5315">
        <w:rPr>
          <w:bCs/>
        </w:rPr>
        <w:t xml:space="preserve">Dakle, </w:t>
      </w:r>
      <w:r w:rsidRPr="002E5315">
        <w:t>prijedloge i preporuke za otklanjanje nepravilnosti i nedostataka istaknute kroz prioritete djelovanja Povjerenika i Ureda povj</w:t>
      </w:r>
      <w:r w:rsidR="009C4192">
        <w:t>e</w:t>
      </w:r>
      <w:r w:rsidRPr="002E5315">
        <w:t>renika, one usmjerene ka tijelima javne vlasti te one usmjerene ka nositelju izrade Zakona valja sagledavati kao povezanu, jedinstvenu cjelinu</w:t>
      </w:r>
      <w:r w:rsidR="0085052B" w:rsidRPr="002E5315">
        <w:t>.</w:t>
      </w:r>
    </w:p>
    <w:p w14:paraId="4B3CD8D4" w14:textId="0362E8AD" w:rsidR="0085052B" w:rsidRPr="002E5315" w:rsidRDefault="0085052B" w:rsidP="00AB7747">
      <w:pPr>
        <w:pStyle w:val="Naslov2"/>
      </w:pPr>
      <w:bookmarkStart w:id="137" w:name="_Toc36309023"/>
      <w:r w:rsidRPr="002E5315">
        <w:t>Prijedlozi i preporuke tijelima javne vlasti</w:t>
      </w:r>
      <w:bookmarkEnd w:id="137"/>
    </w:p>
    <w:p w14:paraId="2A6E0E32" w14:textId="77777777" w:rsidR="00335290" w:rsidRPr="002E5315" w:rsidRDefault="00335290" w:rsidP="006D6D15">
      <w:pPr>
        <w:rPr>
          <w:szCs w:val="23"/>
        </w:rPr>
      </w:pPr>
      <w:r w:rsidRPr="002E5315">
        <w:t xml:space="preserve">Dostignuta razina transparentnosti i otvorenosti tijela te participacija javnosti u korištenju prava na pristup i ponovnu uporabu informacija ukazuje na potrebu kontinuirane provedbe, a dijelom i </w:t>
      </w:r>
      <w:r w:rsidRPr="002E5315">
        <w:rPr>
          <w:szCs w:val="23"/>
        </w:rPr>
        <w:t>redefiniranja dosadašnjih preporuka i prijedloga:</w:t>
      </w:r>
    </w:p>
    <w:p w14:paraId="789655AA" w14:textId="2F6DB8D8" w:rsidR="00335290" w:rsidRPr="002E5315" w:rsidRDefault="00335290" w:rsidP="000114BF">
      <w:pPr>
        <w:pStyle w:val="Odlomakpopisa"/>
        <w:numPr>
          <w:ilvl w:val="0"/>
          <w:numId w:val="32"/>
        </w:numPr>
        <w:spacing w:before="240"/>
        <w:ind w:left="714" w:hanging="357"/>
        <w:rPr>
          <w:rFonts w:ascii="Gill Sans MT" w:hAnsi="Gill Sans MT"/>
          <w:b/>
          <w:sz w:val="23"/>
          <w:szCs w:val="23"/>
        </w:rPr>
      </w:pPr>
      <w:r w:rsidRPr="002E5315">
        <w:rPr>
          <w:rFonts w:ascii="Gill Sans MT" w:hAnsi="Gill Sans MT"/>
          <w:b/>
          <w:sz w:val="23"/>
          <w:szCs w:val="23"/>
        </w:rPr>
        <w:t>Osiguranje stalne potpore čelnika tijela javne vlasti učinkovitoj provedbi prava na pristup informacijama</w:t>
      </w:r>
    </w:p>
    <w:p w14:paraId="6E1F8ECE" w14:textId="77777777" w:rsidR="00335290" w:rsidRPr="002E5315" w:rsidRDefault="00335290" w:rsidP="006D6D15">
      <w:r w:rsidRPr="002E5315">
        <w:t>Iako je na formalno-pravnoj razini odgovorna osoba za primjenu ZPPI-ja službenik za informiranje, praksa ukazuje na važnu ulogu čelnika (i rukovodećih službenika) kao ključnih osoba o kojima ovisi transparentnost i otvorenost tijela i u području prava na pristup informacijama. Stoga će se u 2020. nastaviti konzultativne aktivnosti s čelnicima i rukovodećim službenicima tijela te provođenje za njih krojenih edukacijskih programa kako u području pristupa i ponovne uporabe informacija tako i proaktivne objave informacija i provedbe savjetovanja s javnošću.</w:t>
      </w:r>
    </w:p>
    <w:p w14:paraId="400BADCE" w14:textId="7BA7C438" w:rsidR="00335290" w:rsidRPr="002E5315" w:rsidRDefault="00335290" w:rsidP="000114BF">
      <w:pPr>
        <w:pStyle w:val="Odlomakpopisa"/>
        <w:numPr>
          <w:ilvl w:val="0"/>
          <w:numId w:val="32"/>
        </w:numPr>
        <w:spacing w:before="240"/>
        <w:ind w:left="714" w:hanging="357"/>
        <w:rPr>
          <w:rFonts w:ascii="Gill Sans MT" w:hAnsi="Gill Sans MT"/>
          <w:b/>
          <w:sz w:val="23"/>
          <w:szCs w:val="23"/>
        </w:rPr>
      </w:pPr>
      <w:r w:rsidRPr="002E5315">
        <w:rPr>
          <w:rFonts w:ascii="Gill Sans MT" w:hAnsi="Gill Sans MT"/>
          <w:b/>
          <w:sz w:val="23"/>
          <w:szCs w:val="23"/>
        </w:rPr>
        <w:t>Važnost pohađanja edukacija za službenike o praktičnoj primjeni Zakona</w:t>
      </w:r>
    </w:p>
    <w:p w14:paraId="391D0930" w14:textId="77777777" w:rsidR="00633D93" w:rsidRDefault="00335290" w:rsidP="006D6D15">
      <w:pPr>
        <w:rPr>
          <w:rFonts w:eastAsia="Calibri"/>
          <w:lang w:eastAsia="en-US"/>
        </w:rPr>
      </w:pPr>
      <w:r w:rsidRPr="002E5315">
        <w:rPr>
          <w:rFonts w:eastAsia="Calibri"/>
          <w:szCs w:val="23"/>
          <w:lang w:eastAsia="en-US"/>
        </w:rPr>
        <w:t>Zbog pogrešne primjene ZPPI-ja i tumačenja pojedinih ograničenja, Ured povjerenika će nastaviti s izradom i provedbom dodatnih edukacijskih programa</w:t>
      </w:r>
      <w:r w:rsidRPr="002E5315">
        <w:rPr>
          <w:rFonts w:eastAsia="Calibri"/>
          <w:lang w:eastAsia="en-US"/>
        </w:rPr>
        <w:t>, kako bi se kod službenika za informiranje i drugih službenika koji postupaju po odredbama ZPPI-ja, povećavala znanja u praktičnoj primjeni (provedba testa razmjernosti i javnog interesa, pravilna primjena zlouporabe prava, određivanja što je ili nije informacija, zaštite osobnih podataka, poslovne tajne i sl.)</w:t>
      </w:r>
      <w:r w:rsidR="00633D93">
        <w:rPr>
          <w:rFonts w:eastAsia="Calibri"/>
          <w:lang w:eastAsia="en-US"/>
        </w:rPr>
        <w:t>.</w:t>
      </w:r>
    </w:p>
    <w:p w14:paraId="562304E6" w14:textId="56DB60CA" w:rsidR="00BA777F" w:rsidRPr="002E5315" w:rsidRDefault="00335290" w:rsidP="00335290">
      <w:pPr>
        <w:spacing w:after="160"/>
        <w:rPr>
          <w:rFonts w:eastAsia="Calibri"/>
          <w:szCs w:val="23"/>
          <w:lang w:eastAsia="en-US"/>
        </w:rPr>
      </w:pPr>
      <w:r w:rsidRPr="002E5315">
        <w:rPr>
          <w:rFonts w:eastAsia="Calibri"/>
          <w:szCs w:val="23"/>
          <w:lang w:eastAsia="en-US"/>
        </w:rPr>
        <w:t>Čelnici tijela i rukovodeći službenici trebali bi poticati službenike na pohađanje edukacija o praktičnoj primjeni ZPPI-ja.</w:t>
      </w:r>
    </w:p>
    <w:p w14:paraId="2CEF56C4" w14:textId="718A5BA5" w:rsidR="00335290" w:rsidRPr="002E5315" w:rsidRDefault="00335290" w:rsidP="000114BF">
      <w:pPr>
        <w:pStyle w:val="Odlomakpopisa"/>
        <w:numPr>
          <w:ilvl w:val="0"/>
          <w:numId w:val="32"/>
        </w:numPr>
        <w:spacing w:before="240"/>
        <w:ind w:left="714" w:hanging="357"/>
        <w:rPr>
          <w:rFonts w:ascii="Gill Sans MT" w:eastAsia="Calibri" w:hAnsi="Gill Sans MT"/>
          <w:b/>
          <w:sz w:val="23"/>
          <w:szCs w:val="23"/>
          <w:lang w:eastAsia="en-US"/>
        </w:rPr>
      </w:pPr>
      <w:r w:rsidRPr="002E5315">
        <w:rPr>
          <w:rFonts w:ascii="Gill Sans MT" w:hAnsi="Gill Sans MT" w:cs="Segoe UI"/>
          <w:b/>
          <w:sz w:val="23"/>
          <w:szCs w:val="23"/>
        </w:rPr>
        <w:t>Korištenje upitnika za samoprocjenu i izrada akcijskog plana</w:t>
      </w:r>
    </w:p>
    <w:p w14:paraId="0FEF43BD" w14:textId="77777777" w:rsidR="00335290" w:rsidRPr="002E5315" w:rsidRDefault="00335290" w:rsidP="00335290">
      <w:pPr>
        <w:spacing w:before="120"/>
        <w:rPr>
          <w:rFonts w:cs="Segoe UI"/>
          <w:szCs w:val="23"/>
        </w:rPr>
      </w:pPr>
      <w:r w:rsidRPr="002E5315">
        <w:rPr>
          <w:rFonts w:cs="Segoe UI"/>
          <w:szCs w:val="23"/>
        </w:rPr>
        <w:t>Tijelima javne vlasti se preporučuje provedba periodične analize internetske stranice (kvartalno, polugodišnje), sa svrhom utvrđivanja razine usklađenosti sa zakonskim obvezama, a koristan alat za to je novi Upitnik za samoprocjenu i izrada akcijskog plana za poboljšanje razine objave informacija.</w:t>
      </w:r>
    </w:p>
    <w:p w14:paraId="5E0AE34B" w14:textId="24D163D2" w:rsidR="00335290" w:rsidRPr="002E5315" w:rsidRDefault="00335290" w:rsidP="000114BF">
      <w:pPr>
        <w:pStyle w:val="Odlomakpopisa"/>
        <w:numPr>
          <w:ilvl w:val="0"/>
          <w:numId w:val="32"/>
        </w:numPr>
        <w:spacing w:before="240"/>
        <w:ind w:left="714" w:hanging="357"/>
        <w:rPr>
          <w:rFonts w:ascii="Gill Sans MT" w:hAnsi="Gill Sans MT" w:cs="Segoe UI"/>
          <w:b/>
          <w:sz w:val="23"/>
          <w:szCs w:val="23"/>
        </w:rPr>
      </w:pPr>
      <w:r w:rsidRPr="002E5315">
        <w:rPr>
          <w:rFonts w:ascii="Gill Sans MT" w:hAnsi="Gill Sans MT" w:cs="Segoe UI"/>
          <w:b/>
          <w:sz w:val="23"/>
          <w:szCs w:val="23"/>
        </w:rPr>
        <w:t>Usklađenost plana savjetovanja s planiranim normativnim aktivnostima</w:t>
      </w:r>
    </w:p>
    <w:p w14:paraId="6AE0305B" w14:textId="77777777" w:rsidR="00335290" w:rsidRPr="002E5315" w:rsidRDefault="00335290" w:rsidP="006D6D15">
      <w:pPr>
        <w:rPr>
          <w:rFonts w:cs="Segoe UI"/>
          <w:b/>
          <w:szCs w:val="23"/>
        </w:rPr>
      </w:pPr>
      <w:r w:rsidRPr="002E5315">
        <w:rPr>
          <w:szCs w:val="23"/>
        </w:rPr>
        <w:t>Sudjelovanje javnosti u kreiranju zakona i propisa je na formalno-pravnoj razini povećano, ali stvarna i očekivana participacija</w:t>
      </w:r>
      <w:r w:rsidRPr="002E5315">
        <w:t xml:space="preserve"> javnosti izostaje, stoga se preporuča nositeljima izrade nacrta zakona i svih akata kojima se utječe na interese korisnika, da planiraju normativne aktivnosti na način koji ostavlja potrebno vrijeme za provedbu savjetovanja s javnošću. S obzirom na zajedničku ulogu koordinatora za savjetovanje i službenika za informiranje u postupku savjetovanja, predlaže se čelnicima tijela da usklade i koordiniraju aktivnosti navedenih ovlaštenih službenika te vode računa o kvaliteti cjelokupnog procesa savjetovanja u svim njegovim fazama – </w:t>
      </w:r>
      <w:r w:rsidRPr="002E5315">
        <w:rPr>
          <w:szCs w:val="23"/>
        </w:rPr>
        <w:t>od objave plana savjetovanja do objave kvalitetnog izvješća o provedenom savjetovanju.</w:t>
      </w:r>
    </w:p>
    <w:p w14:paraId="45911A51" w14:textId="213434F4" w:rsidR="00335290" w:rsidRPr="002E5315" w:rsidRDefault="00335290" w:rsidP="000114BF">
      <w:pPr>
        <w:pStyle w:val="Odlomakpopisa"/>
        <w:numPr>
          <w:ilvl w:val="0"/>
          <w:numId w:val="32"/>
        </w:numPr>
        <w:spacing w:before="240"/>
        <w:ind w:left="714" w:hanging="357"/>
        <w:rPr>
          <w:rFonts w:ascii="Gill Sans MT" w:hAnsi="Gill Sans MT" w:cs="Segoe UI"/>
          <w:b/>
          <w:sz w:val="23"/>
          <w:szCs w:val="23"/>
        </w:rPr>
      </w:pPr>
      <w:r w:rsidRPr="002E5315">
        <w:rPr>
          <w:rFonts w:ascii="Gill Sans MT" w:hAnsi="Gill Sans MT" w:cs="Segoe UI"/>
          <w:b/>
          <w:sz w:val="23"/>
          <w:szCs w:val="23"/>
        </w:rPr>
        <w:t>Proaktivno, a ne retroaktivno objavljivanje dnevnih redova sjednica</w:t>
      </w:r>
    </w:p>
    <w:p w14:paraId="7CB5D415" w14:textId="77777777" w:rsidR="00335290" w:rsidRPr="002E5315" w:rsidRDefault="00335290" w:rsidP="006D6D15">
      <w:pPr>
        <w:rPr>
          <w:szCs w:val="23"/>
        </w:rPr>
      </w:pPr>
      <w:r w:rsidRPr="002E5315">
        <w:rPr>
          <w:szCs w:val="23"/>
        </w:rPr>
        <w:t>Radi omogućavanja uvida javnosti u rad tijela javne vlasti potrebno je proaktivno, a ne retroaktivno objavljivati dnevne redove sjednica te upoznati javnost s uvjetima prisustvovanja na njima, te pravovremeno objavljivati zaključke/zapisnike sa sjednica.</w:t>
      </w:r>
    </w:p>
    <w:p w14:paraId="4F5CE109" w14:textId="3735962C" w:rsidR="00335290" w:rsidRPr="002E5315" w:rsidRDefault="00335290" w:rsidP="000114BF">
      <w:pPr>
        <w:pStyle w:val="Odlomakpopisa"/>
        <w:numPr>
          <w:ilvl w:val="0"/>
          <w:numId w:val="32"/>
        </w:numPr>
        <w:spacing w:before="240"/>
        <w:ind w:left="714" w:hanging="357"/>
        <w:rPr>
          <w:rFonts w:ascii="Gill Sans MT" w:hAnsi="Gill Sans MT" w:cs="Arial"/>
          <w:b/>
          <w:sz w:val="23"/>
          <w:szCs w:val="23"/>
        </w:rPr>
      </w:pPr>
      <w:r w:rsidRPr="002E5315">
        <w:rPr>
          <w:rFonts w:ascii="Gill Sans MT" w:hAnsi="Gill Sans MT" w:cs="Segoe UI"/>
          <w:b/>
          <w:sz w:val="23"/>
          <w:szCs w:val="23"/>
        </w:rPr>
        <w:t>Izrada popisa skupova podataka i objava registara i baza podataka radi uklanjanja</w:t>
      </w:r>
      <w:r w:rsidR="00954DB8" w:rsidRPr="002E5315">
        <w:rPr>
          <w:rFonts w:ascii="Gill Sans MT" w:hAnsi="Gill Sans MT" w:cs="Segoe UI"/>
          <w:b/>
          <w:sz w:val="23"/>
          <w:szCs w:val="23"/>
        </w:rPr>
        <w:t xml:space="preserve"> </w:t>
      </w:r>
      <w:r w:rsidRPr="002E5315">
        <w:rPr>
          <w:rFonts w:ascii="Gill Sans MT" w:hAnsi="Gill Sans MT" w:cs="Segoe UI"/>
          <w:b/>
          <w:sz w:val="23"/>
          <w:szCs w:val="23"/>
        </w:rPr>
        <w:t>prepreka za ponovnu uporabu informacija</w:t>
      </w:r>
    </w:p>
    <w:p w14:paraId="69220915" w14:textId="77777777" w:rsidR="00633D93" w:rsidRDefault="00335290" w:rsidP="006D6D15">
      <w:r w:rsidRPr="002E5315">
        <w:rPr>
          <w:szCs w:val="23"/>
        </w:rPr>
        <w:t>Tijela trebaju identificirati registre i baze podataka koje vode, izraditi Popis skupova podataka i donijeti plan</w:t>
      </w:r>
      <w:r w:rsidRPr="002E5315">
        <w:t xml:space="preserve"> za njihovu prilagodbu radi objave u strojno čitljivom i otvorenom obliku</w:t>
      </w:r>
      <w:r w:rsidR="00633D93">
        <w:t>.</w:t>
      </w:r>
    </w:p>
    <w:p w14:paraId="38E07F4F" w14:textId="77777777" w:rsidR="00633D93" w:rsidRDefault="00335290" w:rsidP="006D6D15">
      <w:r w:rsidRPr="002E5315">
        <w:t>Kod utvrđivanja uvjeta za ponovnu uporabu tijelima se preporuča koristiti hrvatsku Otvorenu</w:t>
      </w:r>
      <w:r w:rsidR="00954DB8" w:rsidRPr="002E5315">
        <w:t xml:space="preserve"> </w:t>
      </w:r>
      <w:r w:rsidRPr="002E5315">
        <w:t>dozvolu, a iznimno mogu koristiti druge standardne međunarodne dozvole kod objave specifičnih skupova podataka, kao i</w:t>
      </w:r>
      <w:r w:rsidR="00954DB8" w:rsidRPr="002E5315">
        <w:t xml:space="preserve"> </w:t>
      </w:r>
      <w:r w:rsidR="00942C66">
        <w:t xml:space="preserve">kad </w:t>
      </w:r>
      <w:r w:rsidRPr="002E5315">
        <w:t>postoji potreba za ograničenjem pristupa pojedinim podacima</w:t>
      </w:r>
      <w:r w:rsidR="00633D93">
        <w:t>.</w:t>
      </w:r>
    </w:p>
    <w:p w14:paraId="271A06EC" w14:textId="59C36AAE" w:rsidR="0085052B" w:rsidRPr="002E5315" w:rsidRDefault="0085052B" w:rsidP="00AB7747">
      <w:pPr>
        <w:pStyle w:val="Naslov2"/>
      </w:pPr>
      <w:bookmarkStart w:id="138" w:name="_Toc36309024"/>
      <w:r w:rsidRPr="002E5315">
        <w:t>Prijedlog noveliranja Zakona o pravu na pristup informacijama</w:t>
      </w:r>
      <w:bookmarkEnd w:id="138"/>
    </w:p>
    <w:p w14:paraId="0B00D5B6" w14:textId="77777777" w:rsidR="006D6D15" w:rsidRPr="002E5315" w:rsidRDefault="006D6D15" w:rsidP="006D6D15">
      <w:pPr>
        <w:rPr>
          <w:rFonts w:eastAsiaTheme="minorHAnsi"/>
          <w:lang w:eastAsia="en-US"/>
        </w:rPr>
      </w:pPr>
      <w:r w:rsidRPr="002E5315">
        <w:rPr>
          <w:rFonts w:eastAsiaTheme="minorHAnsi"/>
          <w:lang w:eastAsia="en-US"/>
        </w:rPr>
        <w:t>Temeljem članka 35. stavka 3. podstavka 7. ZPPI-ja Povjerenik je ovlašten za iniciranje donošenja ili izmjene propisa radi provedbe i unaprjeđenja prava na pristup informacijama i ponovnu uporabu informacija. Kako je već u Godišnjem izvješću o provedbi ZPPI-ja za 2018. naglašeno da je višegodišnja primjena Zakona od strane tijela javne vlasti, Povjerenika i Visokog upravnog suda RH ukazala na određene slabosti postojećeg normativnog okvira, koje zahtijevaju jasnije i preciznije reguliranje pojedinih pitanja, tako u nastavku dajemo precizniju analizu potrebnih intervencija u zakonski tekst.</w:t>
      </w:r>
    </w:p>
    <w:p w14:paraId="2F5AFEAD" w14:textId="5517BED5" w:rsidR="006D6D15" w:rsidRPr="002E5315" w:rsidRDefault="006D6D15" w:rsidP="006D6D15">
      <w:pPr>
        <w:rPr>
          <w:rFonts w:eastAsiaTheme="minorHAnsi"/>
          <w:lang w:eastAsia="en-US"/>
        </w:rPr>
      </w:pPr>
      <w:r w:rsidRPr="002E5315">
        <w:rPr>
          <w:rFonts w:eastAsiaTheme="minorHAnsi"/>
          <w:lang w:eastAsia="en-US"/>
        </w:rPr>
        <w:t>Usvajanje izmjena ZPPI-ja je nužno radi povećanja stupnja njegove primjene, otklanjanja evidentnih prepreka u efikasnijem ostvarivanju prava, prvenstveno onih koje ne osiguravaju pravnu zaštitu korisniku, koje se odnose na izvršenje odluka Povjerenika, ali i radi unapređenja proaktivnog objavljivanja informacija, veće transparentnosti i odgovornosti tijela javne vlasti i osnaživanje antikorupcijskog potencijala ovog zakona.</w:t>
      </w:r>
    </w:p>
    <w:p w14:paraId="615FDCA8" w14:textId="77777777" w:rsidR="006D6D15" w:rsidRPr="002E5315" w:rsidRDefault="006D6D15" w:rsidP="006D6D15">
      <w:pPr>
        <w:rPr>
          <w:rFonts w:eastAsiaTheme="minorHAnsi"/>
          <w:szCs w:val="23"/>
          <w:lang w:eastAsia="en-US"/>
        </w:rPr>
      </w:pPr>
      <w:r w:rsidRPr="002E5315">
        <w:rPr>
          <w:rFonts w:eastAsiaTheme="minorHAnsi"/>
          <w:lang w:eastAsia="en-US"/>
        </w:rPr>
        <w:t xml:space="preserve">U nastavku ukazujemo na najvažnije izmjene usvajanjem kojih bi se, po ocjeni Povjerenika i Ureda </w:t>
      </w:r>
      <w:r w:rsidRPr="002E5315">
        <w:rPr>
          <w:rFonts w:eastAsiaTheme="minorHAnsi"/>
          <w:szCs w:val="23"/>
          <w:lang w:eastAsia="en-US"/>
        </w:rPr>
        <w:t>povjerenika, u dobroj mjeri otklonili nedostaci i nepravilnosti u provedbi Zakona.</w:t>
      </w:r>
    </w:p>
    <w:p w14:paraId="14A76F7F" w14:textId="1E0C853B" w:rsidR="006D6D15" w:rsidRPr="002E5315" w:rsidRDefault="006D6D15" w:rsidP="000114BF">
      <w:pPr>
        <w:pStyle w:val="Odlomakpopisa"/>
        <w:numPr>
          <w:ilvl w:val="0"/>
          <w:numId w:val="33"/>
        </w:numPr>
        <w:spacing w:before="240"/>
        <w:ind w:left="714" w:hanging="357"/>
        <w:rPr>
          <w:rFonts w:ascii="Gill Sans MT" w:eastAsiaTheme="minorHAnsi" w:hAnsi="Gill Sans MT"/>
          <w:b/>
          <w:bCs/>
          <w:sz w:val="23"/>
          <w:szCs w:val="23"/>
          <w:lang w:eastAsia="en-US"/>
        </w:rPr>
      </w:pPr>
      <w:r w:rsidRPr="002E5315">
        <w:rPr>
          <w:rFonts w:ascii="Gill Sans MT" w:eastAsiaTheme="minorHAnsi" w:hAnsi="Gill Sans MT"/>
          <w:b/>
          <w:bCs/>
          <w:sz w:val="23"/>
          <w:szCs w:val="23"/>
          <w:lang w:eastAsia="en-US"/>
        </w:rPr>
        <w:t xml:space="preserve">Redefiniranje obveze proaktivne objave informacija </w:t>
      </w:r>
    </w:p>
    <w:p w14:paraId="76505208" w14:textId="77777777" w:rsidR="00633D93" w:rsidRDefault="006D6D15" w:rsidP="006D6D15">
      <w:pPr>
        <w:rPr>
          <w:rFonts w:eastAsiaTheme="minorHAnsi"/>
          <w:szCs w:val="23"/>
          <w:lang w:eastAsia="en-US"/>
        </w:rPr>
      </w:pPr>
      <w:r w:rsidRPr="002E5315">
        <w:rPr>
          <w:rFonts w:eastAsiaTheme="minorHAnsi"/>
          <w:szCs w:val="23"/>
          <w:lang w:eastAsia="en-US"/>
        </w:rPr>
        <w:t>Postojeći Zakon vrlo široko definira tijela javne vlasti obuhvaćajući više kategorija tijela: od državnih, preko JLP(R)S, pravnih osoba koje imaju javne ovlasti ili obavljaju javnu službu ili su u vlasništvu RH ili lokalnih jedinica, što ne smatramo spornim. Međutim, ZPPI radi naglašene transparentnosti i otvorenosti tijela javne vlasti, propisuje niz obveza koje su jednake za sve kategorije tijela, ne radeći distinkciju po sadržaju, opsegu i razini ovlasti tijela, učešću javnih sredstava i sl. Tako se obveze primjerice komunalnog poduzeća, ustanove, ili stanice za tehnički pregled vozila, jednako odnose na njihovu cjelokupnu djelatnost i cjelokupnu imovinu, što znači i za onaj dio djelatnosti ili sredstava koja ostvaruju na tržištu</w:t>
      </w:r>
      <w:r w:rsidR="00633D93">
        <w:rPr>
          <w:rFonts w:eastAsiaTheme="minorHAnsi"/>
          <w:szCs w:val="23"/>
          <w:lang w:eastAsia="en-US"/>
        </w:rPr>
        <w:t>.</w:t>
      </w:r>
    </w:p>
    <w:p w14:paraId="662D1D8B" w14:textId="77777777" w:rsidR="00633D93" w:rsidRDefault="006D6D15" w:rsidP="006D6D15">
      <w:pPr>
        <w:rPr>
          <w:rFonts w:eastAsia="Calibri"/>
          <w:szCs w:val="23"/>
          <w:lang w:eastAsia="en-US"/>
        </w:rPr>
      </w:pPr>
      <w:r w:rsidRPr="002E5315">
        <w:rPr>
          <w:rFonts w:eastAsia="Calibri"/>
          <w:szCs w:val="23"/>
          <w:lang w:eastAsia="en-US"/>
        </w:rPr>
        <w:t>Važeći Zakon je koncepcijski utemeljen na proaktivnoj, samoinicijativnoj objavi informacija tijela, stoga obuhvat tijela i njihove jednake obveze očekivano najviše dolaze do izražaja upravo kod određivanja informacija koje su tijela dužna proaktivno objaviti. Evaluacijom dosadašnje provedbe proaktivne objave informacija, utvrđeno je da sve propisane informacije nisu jednako primjenjive na sva tijela. Valjalo bi raspraviti treba li obveze tijela precizirati i diferencirati po kategorijama, tako da tijela unaprijed znaju koje su njihove obveze, bez „vaganja“ je li na njih nešto primjenjivo ili ne</w:t>
      </w:r>
      <w:r w:rsidR="00633D93">
        <w:rPr>
          <w:rFonts w:eastAsia="Calibri"/>
          <w:szCs w:val="23"/>
          <w:lang w:eastAsia="en-US"/>
        </w:rPr>
        <w:t>.</w:t>
      </w:r>
    </w:p>
    <w:p w14:paraId="26DD45B4" w14:textId="0267E0F1" w:rsidR="006D6D15" w:rsidRPr="002E5315" w:rsidRDefault="006D6D15" w:rsidP="006D6D15">
      <w:pPr>
        <w:rPr>
          <w:rFonts w:eastAsia="Calibri"/>
          <w:szCs w:val="23"/>
          <w:lang w:eastAsia="en-US"/>
        </w:rPr>
      </w:pPr>
      <w:r w:rsidRPr="002E5315">
        <w:rPr>
          <w:rFonts w:eastAsia="Calibri"/>
          <w:szCs w:val="23"/>
          <w:lang w:eastAsia="en-US"/>
        </w:rPr>
        <w:t>Radi svrhovite primjene Zakona predlaže se redefinirati, odnosno precizirati pojedine zakonske obveze (primjerice, vezano uz javnost rada, objavu pojedinih informacija i dr., kao i preciziranje što se smatra raspolaganjem javnim sredstvima), prema pojedinim kategorijama tijela javne vlasti.</w:t>
      </w:r>
    </w:p>
    <w:p w14:paraId="24862E66" w14:textId="114CFAF1" w:rsidR="006D6D15" w:rsidRPr="002E5315" w:rsidRDefault="006D6D15" w:rsidP="000114BF">
      <w:pPr>
        <w:pStyle w:val="Odlomakpopisa"/>
        <w:numPr>
          <w:ilvl w:val="0"/>
          <w:numId w:val="33"/>
        </w:numPr>
        <w:spacing w:before="240"/>
        <w:ind w:left="714" w:hanging="357"/>
        <w:rPr>
          <w:rFonts w:ascii="Gill Sans MT" w:eastAsia="Calibri" w:hAnsi="Gill Sans MT"/>
          <w:b/>
          <w:bCs/>
          <w:sz w:val="23"/>
          <w:szCs w:val="23"/>
          <w:lang w:eastAsia="en-US"/>
        </w:rPr>
      </w:pPr>
      <w:r w:rsidRPr="002E5315">
        <w:rPr>
          <w:rFonts w:ascii="Gill Sans MT" w:eastAsiaTheme="minorHAnsi" w:hAnsi="Gill Sans MT"/>
          <w:b/>
          <w:bCs/>
          <w:sz w:val="23"/>
          <w:szCs w:val="23"/>
          <w:lang w:eastAsia="en-US"/>
        </w:rPr>
        <w:t xml:space="preserve">Donošenje rješenja (ne obavijesti) kad se zahtjev ne smatra zahtjevom za pristup informacijama </w:t>
      </w:r>
    </w:p>
    <w:p w14:paraId="37349981" w14:textId="37AC3B58" w:rsidR="006D6D15" w:rsidRPr="002E5315" w:rsidRDefault="006D6D15" w:rsidP="006D6D15">
      <w:pPr>
        <w:rPr>
          <w:rFonts w:eastAsiaTheme="minorHAnsi"/>
          <w:szCs w:val="23"/>
          <w:lang w:eastAsia="en-US"/>
        </w:rPr>
      </w:pPr>
      <w:r w:rsidRPr="002E5315">
        <w:rPr>
          <w:rFonts w:eastAsiaTheme="minorHAnsi"/>
          <w:szCs w:val="23"/>
          <w:lang w:eastAsia="en-US"/>
        </w:rPr>
        <w:t>Zakonsku mogućnost odlučivanja o zahtjevu, putem obav</w:t>
      </w:r>
      <w:r w:rsidR="005D06D6">
        <w:rPr>
          <w:rFonts w:eastAsiaTheme="minorHAnsi"/>
          <w:szCs w:val="23"/>
          <w:lang w:eastAsia="en-US"/>
        </w:rPr>
        <w:t>i</w:t>
      </w:r>
      <w:r w:rsidRPr="002E5315">
        <w:rPr>
          <w:rFonts w:eastAsiaTheme="minorHAnsi"/>
          <w:szCs w:val="23"/>
          <w:lang w:eastAsia="en-US"/>
        </w:rPr>
        <w:t>jesti da se nešto ne smatra zahtjevom za pristup informacijama, bez obveze donošenja upravnog akta, prekomjerno se koristi. Radi promjene stajališta Visokog upravnog suda RH vezanog uz interpretaciju odredbe 155. i 156 ZUP-a u kontekstu slanja obavijesti korisnicima i mogućnosti pravne zaštite korisnika (korisnici više nemaju mogućnost podnošenja prigovora), predlaže se donošenje rješenja o odbacivanju zahtjeva u slučajevima kad tijelo ocijeni da se podneseni zahtjev ne smatra zahtjevom za pristup informacijama.</w:t>
      </w:r>
    </w:p>
    <w:p w14:paraId="2CDB47DF" w14:textId="6C98A666" w:rsidR="006D6D15" w:rsidRPr="002E5315" w:rsidRDefault="006D6D15" w:rsidP="000114BF">
      <w:pPr>
        <w:pStyle w:val="Odlomakpopisa"/>
        <w:numPr>
          <w:ilvl w:val="0"/>
          <w:numId w:val="33"/>
        </w:numPr>
        <w:spacing w:before="240"/>
        <w:ind w:left="714" w:hanging="357"/>
        <w:rPr>
          <w:rFonts w:ascii="Gill Sans MT" w:eastAsiaTheme="minorHAnsi" w:hAnsi="Gill Sans MT"/>
          <w:b/>
          <w:bCs/>
          <w:sz w:val="23"/>
          <w:szCs w:val="23"/>
          <w:lang w:eastAsia="en-US"/>
        </w:rPr>
      </w:pPr>
      <w:r w:rsidRPr="002E5315">
        <w:rPr>
          <w:rFonts w:ascii="Gill Sans MT" w:eastAsiaTheme="minorHAnsi" w:hAnsi="Gill Sans MT"/>
          <w:b/>
          <w:bCs/>
          <w:sz w:val="23"/>
          <w:szCs w:val="23"/>
          <w:lang w:eastAsia="en-US"/>
        </w:rPr>
        <w:t>Dodatno i preciznije urediti postupak savjetovanja s javnošću</w:t>
      </w:r>
    </w:p>
    <w:p w14:paraId="465CD3E4" w14:textId="64657EE9" w:rsidR="006D6D15" w:rsidRPr="002E5315" w:rsidRDefault="006D6D15" w:rsidP="006D6D15">
      <w:pPr>
        <w:rPr>
          <w:rFonts w:eastAsia="Calibri"/>
          <w:szCs w:val="23"/>
          <w:lang w:eastAsia="en-US"/>
        </w:rPr>
      </w:pPr>
      <w:r w:rsidRPr="002E5315">
        <w:rPr>
          <w:rFonts w:eastAsia="Calibri"/>
          <w:szCs w:val="23"/>
          <w:lang w:eastAsia="en-US"/>
        </w:rPr>
        <w:t xml:space="preserve">Provedba </w:t>
      </w:r>
      <w:r w:rsidR="00625EE1" w:rsidRPr="00625EE1">
        <w:rPr>
          <w:rFonts w:eastAsia="Calibri"/>
          <w:szCs w:val="23"/>
          <w:lang w:eastAsia="en-US"/>
        </w:rPr>
        <w:t>savjetovanj</w:t>
      </w:r>
      <w:r w:rsidR="00625EE1">
        <w:rPr>
          <w:rFonts w:eastAsia="Calibri"/>
          <w:szCs w:val="23"/>
          <w:lang w:eastAsia="en-US"/>
        </w:rPr>
        <w:t>a</w:t>
      </w:r>
      <w:r w:rsidR="00625EE1" w:rsidRPr="00625EE1">
        <w:rPr>
          <w:rFonts w:eastAsia="Calibri"/>
          <w:szCs w:val="23"/>
          <w:lang w:eastAsia="en-US"/>
        </w:rPr>
        <w:t xml:space="preserve"> s javnošću pri donošenju zakona i podzakonskih propisa, kao i provedba savjetovanja s javnošću pri donošenju općih akata, odnosno drugih strateških ili planskih dokumenta kad se njima utječe na interese građana i pravnih osoba (JLP(R)S i pravne osobe s javnim ovlastima), podigla je ljestvicu moguće participacije građana u kreiranju javnih politika, kako na nacionalnoj, tako i na lokalnoj razini. Stoga ovaj institut valja i dalje jačati preciziranjem trajanja savjetovanja, vremenskim preciziranjem obveze objave izvješća o provedenom savjetovanju, kao i stvaranjem pretpostavki za provedbu savjetovanja s javnošću za odluke koje se donose na lokalnoj razini putem centraliziranog portala kakav postoji na središnjoj državnoj razini. S obzirom na to da tijela nerijetko izbjegavaju provedbu savjetovanja ili skraćuju rok provedbe zbog </w:t>
      </w:r>
      <w:r w:rsidR="00625EE1">
        <w:rPr>
          <w:rFonts w:eastAsia="Calibri"/>
          <w:szCs w:val="23"/>
          <w:lang w:eastAsia="en-US"/>
        </w:rPr>
        <w:t>"</w:t>
      </w:r>
      <w:r w:rsidR="00625EE1" w:rsidRPr="00625EE1">
        <w:rPr>
          <w:rFonts w:eastAsia="Calibri"/>
          <w:szCs w:val="23"/>
          <w:lang w:eastAsia="en-US"/>
        </w:rPr>
        <w:t>opravdanih razloga</w:t>
      </w:r>
      <w:r w:rsidR="00625EE1">
        <w:rPr>
          <w:rFonts w:eastAsia="Calibri"/>
          <w:szCs w:val="23"/>
          <w:lang w:eastAsia="en-US"/>
        </w:rPr>
        <w:t>"</w:t>
      </w:r>
      <w:r w:rsidR="00625EE1" w:rsidRPr="00625EE1">
        <w:rPr>
          <w:rFonts w:eastAsia="Calibri"/>
          <w:szCs w:val="23"/>
          <w:lang w:eastAsia="en-US"/>
        </w:rPr>
        <w:t>, držimo važnim propisati iznimke od obveze provedbe savjetovanja ili skraćivanja roka za njegovu provedbu</w:t>
      </w:r>
      <w:r w:rsidRPr="002E5315">
        <w:rPr>
          <w:rFonts w:eastAsia="Calibri"/>
          <w:szCs w:val="23"/>
          <w:lang w:eastAsia="en-US"/>
        </w:rPr>
        <w:t>.</w:t>
      </w:r>
    </w:p>
    <w:p w14:paraId="0E25F992" w14:textId="14930932" w:rsidR="006D6D15" w:rsidRPr="002E5315" w:rsidRDefault="006D6D15" w:rsidP="000114BF">
      <w:pPr>
        <w:pStyle w:val="Odlomakpopisa"/>
        <w:numPr>
          <w:ilvl w:val="0"/>
          <w:numId w:val="33"/>
        </w:numPr>
        <w:spacing w:before="240"/>
        <w:ind w:left="714" w:hanging="357"/>
        <w:rPr>
          <w:rFonts w:ascii="Gill Sans MT" w:eastAsia="Calibri" w:hAnsi="Gill Sans MT"/>
          <w:b/>
          <w:bCs/>
          <w:sz w:val="23"/>
          <w:szCs w:val="23"/>
          <w:lang w:eastAsia="en-US"/>
        </w:rPr>
      </w:pPr>
      <w:r w:rsidRPr="002E5315">
        <w:rPr>
          <w:rFonts w:ascii="Gill Sans MT" w:eastAsiaTheme="minorHAnsi" w:hAnsi="Gill Sans MT"/>
          <w:b/>
          <w:bCs/>
          <w:sz w:val="23"/>
          <w:szCs w:val="23"/>
          <w:lang w:eastAsia="en-US"/>
        </w:rPr>
        <w:t>Propisati vođenje jedinstvenog e-upisnika o rješavanju zahtjeva od strane tijela javne vlasti</w:t>
      </w:r>
    </w:p>
    <w:p w14:paraId="214E94F1" w14:textId="5EF0B29E" w:rsidR="006D6D15" w:rsidRPr="002E5315" w:rsidRDefault="006D6D15" w:rsidP="006D6D15">
      <w:pPr>
        <w:rPr>
          <w:rFonts w:eastAsiaTheme="minorHAnsi"/>
          <w:szCs w:val="23"/>
          <w:lang w:eastAsia="en-US"/>
        </w:rPr>
      </w:pPr>
      <w:r w:rsidRPr="002E5315">
        <w:rPr>
          <w:rFonts w:eastAsiaTheme="minorHAnsi"/>
          <w:szCs w:val="23"/>
          <w:lang w:eastAsia="en-US"/>
        </w:rPr>
        <w:t>Podnošenje Godišnjeg izvješća o provedbi ZPPI-ja je zahtjevna zadaća kako za tijela javne vlasti, tako i za Ured povjerenika. Podaci koje tijela dostave nisu provjerljivi (osim kod najekstremnijih slučajeva kada se u dogovoru s tijelom revidiraju podaci), a u pojedinim slučajevima je Ureda povjerenika očito da podaci ne mogu biti točni. Stoga je potrebno izmijeniti odredbe o načinu izvješćivanja i propisati vođenje jedinstvenog e-službenog upisnika, kojim će se tijelima omogućiti evidentiranje zahtjeva za pristup informacijama po zadanim fazama i sadržajima unosa, a povlačenje podataka od strane Ureda povjerenika za potrebe izrade godišnjeg izvješća će biti automatizirano, uz mogućnost kontinuiranog uvida Ureda povjerenika u službeni upisnik</w:t>
      </w:r>
      <w:r w:rsidRPr="002E5315">
        <w:rPr>
          <w:szCs w:val="23"/>
        </w:rPr>
        <w:t xml:space="preserve"> </w:t>
      </w:r>
      <w:r w:rsidRPr="002E5315">
        <w:rPr>
          <w:rFonts w:eastAsiaTheme="minorHAnsi"/>
          <w:szCs w:val="23"/>
          <w:lang w:eastAsia="en-US"/>
        </w:rPr>
        <w:t>i preuzimanja podataka tijekom cijele godine. Time se postiže dobivanje vjerodostojnih podataka te mogućnost izrade puno preciznijih analiza od strane Ureda povjerenika, znanstvenika i zainteresirane stručne javnosti.</w:t>
      </w:r>
    </w:p>
    <w:p w14:paraId="38ABDF75" w14:textId="4BF286D4" w:rsidR="006D6D15" w:rsidRPr="002E5315" w:rsidRDefault="006D6D15" w:rsidP="000114BF">
      <w:pPr>
        <w:pStyle w:val="Odlomakpopisa"/>
        <w:numPr>
          <w:ilvl w:val="0"/>
          <w:numId w:val="33"/>
        </w:numPr>
        <w:spacing w:before="240"/>
        <w:ind w:left="714" w:hanging="357"/>
        <w:rPr>
          <w:rFonts w:ascii="Gill Sans MT" w:eastAsiaTheme="minorHAnsi" w:hAnsi="Gill Sans MT"/>
          <w:b/>
          <w:bCs/>
          <w:sz w:val="23"/>
          <w:szCs w:val="23"/>
          <w:lang w:eastAsia="en-US"/>
        </w:rPr>
      </w:pPr>
      <w:r w:rsidRPr="002E5315">
        <w:rPr>
          <w:rFonts w:ascii="Gill Sans MT" w:eastAsiaTheme="minorHAnsi" w:hAnsi="Gill Sans MT"/>
          <w:b/>
          <w:bCs/>
          <w:sz w:val="23"/>
          <w:szCs w:val="23"/>
          <w:lang w:eastAsia="en-US"/>
        </w:rPr>
        <w:t>Preciznije određivanje odgovornosti čelnika tijela javne vlasti/službenika za pristup informacijama</w:t>
      </w:r>
    </w:p>
    <w:p w14:paraId="41A20082" w14:textId="77777777" w:rsidR="006D6D15" w:rsidRPr="002E5315" w:rsidRDefault="006D6D15" w:rsidP="006D6D15">
      <w:pPr>
        <w:rPr>
          <w:rFonts w:eastAsia="Calibri"/>
          <w:szCs w:val="23"/>
          <w:lang w:eastAsia="en-US"/>
        </w:rPr>
      </w:pPr>
      <w:r w:rsidRPr="002E5315">
        <w:rPr>
          <w:rFonts w:eastAsia="Calibri"/>
          <w:szCs w:val="23"/>
          <w:lang w:eastAsia="en-US"/>
        </w:rPr>
        <w:t>Službenici za informiranje tijela javne vlasti opravdano su ukazivali na zakonsku formulaciju „odgovorne osobe“ koja, neovisno o postojećoj pozitivno-pravnoj praksi i smatranju čelnika tijela odgovornom osobom za zakonitost rada tijela pa i provedbu ZPPI-ja, ostavlja dovoljno prostora za izbjegavanje odgovornosti čelnika tijela. Stoga smatramo da je potrebno jasno precizirati odgovornost čelnika tijela za pristup informacijama, kao i službenika za informiranje. Isto se može postići jasnim razgraničenjem uloge (odgovornosti) službenika za informiranje i čelnika tijela, ali i preciznim reguliranjem odnosa službenika za informiranje i ostalih zaposlenika koji trebaju pridonositi pravilnoj primjeni ZPPI-ja, uz naglašavanje koordinativne uloge službenika za informiranje, kao i osiguranjem primjerene zaštite službenika za informiranje.</w:t>
      </w:r>
    </w:p>
    <w:p w14:paraId="4AA52276" w14:textId="19832A6C" w:rsidR="006D6D15" w:rsidRPr="002E5315" w:rsidRDefault="006D6D15" w:rsidP="000114BF">
      <w:pPr>
        <w:pStyle w:val="Odlomakpopisa"/>
        <w:numPr>
          <w:ilvl w:val="0"/>
          <w:numId w:val="33"/>
        </w:numPr>
        <w:spacing w:before="240"/>
        <w:ind w:left="714" w:hanging="357"/>
        <w:rPr>
          <w:rFonts w:ascii="Gill Sans MT" w:eastAsia="Calibri" w:hAnsi="Gill Sans MT"/>
          <w:b/>
          <w:bCs/>
          <w:sz w:val="23"/>
          <w:szCs w:val="23"/>
          <w:lang w:eastAsia="en-US"/>
        </w:rPr>
      </w:pPr>
      <w:r w:rsidRPr="002E5315">
        <w:rPr>
          <w:rFonts w:ascii="Gill Sans MT" w:eastAsiaTheme="minorHAnsi" w:hAnsi="Gill Sans MT"/>
          <w:b/>
          <w:bCs/>
          <w:sz w:val="23"/>
          <w:szCs w:val="23"/>
          <w:lang w:eastAsia="en-US"/>
        </w:rPr>
        <w:t>Izravno sankcioniranje tijela javne vlasti i odgovorne osobe tijela radi nepostupanja po Zakonu</w:t>
      </w:r>
    </w:p>
    <w:p w14:paraId="6CB6D41B" w14:textId="77777777" w:rsidR="006D6D15" w:rsidRPr="002E5315" w:rsidRDefault="006D6D15" w:rsidP="006D6D15">
      <w:pPr>
        <w:rPr>
          <w:rFonts w:eastAsiaTheme="minorHAnsi"/>
          <w:szCs w:val="23"/>
          <w:lang w:eastAsia="en-US"/>
        </w:rPr>
      </w:pPr>
      <w:r w:rsidRPr="002E5315">
        <w:rPr>
          <w:rFonts w:eastAsiaTheme="minorHAnsi"/>
          <w:szCs w:val="23"/>
          <w:lang w:eastAsia="en-US"/>
        </w:rPr>
        <w:t>Jedna od prepreka efikasnom ostvarivanju prava na pristup informacijama je postojeći sustav sankcioniranja koji se temelji isključivo na primjeni Prekršajnog zakona. Sustav sankcioniranja zasigurno bi bio puno učinkovitiji propisivanjem mogućnosti izricanja izravnih upravnih mjera tijelima i odgovornim osobama tijela koja ne izvršavaju pravomoćna rješenja povjerenika ili nepostupaju po nalozima Povjerenika, njegovih inspektora ili drugih ovlaštenih službenika Ureda povjerenika.</w:t>
      </w:r>
    </w:p>
    <w:p w14:paraId="4A644D1E" w14:textId="1E6455D7" w:rsidR="006D6D15" w:rsidRPr="002E5315" w:rsidRDefault="006D6D15" w:rsidP="000114BF">
      <w:pPr>
        <w:pStyle w:val="Odlomakpopisa"/>
        <w:numPr>
          <w:ilvl w:val="0"/>
          <w:numId w:val="33"/>
        </w:numPr>
        <w:spacing w:before="240"/>
        <w:ind w:left="714" w:hanging="357"/>
        <w:rPr>
          <w:rFonts w:ascii="Gill Sans MT" w:eastAsiaTheme="minorHAnsi" w:hAnsi="Gill Sans MT"/>
          <w:b/>
          <w:bCs/>
          <w:sz w:val="23"/>
          <w:szCs w:val="23"/>
          <w:lang w:eastAsia="en-US"/>
        </w:rPr>
      </w:pPr>
      <w:r w:rsidRPr="002E5315">
        <w:rPr>
          <w:rFonts w:ascii="Gill Sans MT" w:eastAsiaTheme="minorHAnsi" w:hAnsi="Gill Sans MT"/>
          <w:b/>
          <w:bCs/>
          <w:sz w:val="23"/>
          <w:szCs w:val="23"/>
          <w:lang w:eastAsia="en-US"/>
        </w:rPr>
        <w:t>Institut izvršavanja pravomoćnih rješenja o pristup informacijama učiniti efikasnijim</w:t>
      </w:r>
    </w:p>
    <w:p w14:paraId="2E3234C7" w14:textId="08213B44" w:rsidR="006D6D15" w:rsidRPr="002E5315" w:rsidRDefault="006D6D15" w:rsidP="006D6D15">
      <w:pPr>
        <w:rPr>
          <w:rFonts w:eastAsiaTheme="minorHAnsi"/>
          <w:szCs w:val="23"/>
          <w:lang w:eastAsia="en-US"/>
        </w:rPr>
      </w:pPr>
      <w:r w:rsidRPr="002E5315">
        <w:rPr>
          <w:rFonts w:eastAsiaTheme="minorHAnsi"/>
          <w:szCs w:val="23"/>
          <w:lang w:eastAsia="en-US"/>
        </w:rPr>
        <w:t>S obzirom na postojeće odredbe ZUP-a o izvršenju rješenja od strane prvostupanjskih tijela državne uprave nadležnih za poslove opće uprave, a imajući u vidu stav Visokog upravnog suda RH da rješenja o nalaganju nisu pogodna za izvršenje prema odredbama ZUP-a, valjalo bi</w:t>
      </w:r>
      <w:r w:rsidR="00954DB8" w:rsidRPr="002E5315">
        <w:rPr>
          <w:rFonts w:eastAsiaTheme="minorHAnsi"/>
          <w:szCs w:val="23"/>
          <w:lang w:eastAsia="en-US"/>
        </w:rPr>
        <w:t xml:space="preserve"> </w:t>
      </w:r>
      <w:r w:rsidRPr="002E5315">
        <w:rPr>
          <w:rFonts w:eastAsiaTheme="minorHAnsi"/>
          <w:szCs w:val="23"/>
          <w:lang w:eastAsia="en-US"/>
        </w:rPr>
        <w:t>raspraviti o mogućnosti izvršavanja pravomoćnih rješenja Povjerenika propisivanjem nadležnog tijela za izvršenje u ZPPI-ju (jedna od solucija je i davanje ovlasti Povjereniku za izvršavanje pravomoćnih rješenja kojima se tijelu javne vlasti nalaže omogućavanje pristupa određenim informacijama).</w:t>
      </w:r>
    </w:p>
    <w:p w14:paraId="6BEBD3A8" w14:textId="28B4EDBB" w:rsidR="006D6D15" w:rsidRPr="002E5315" w:rsidRDefault="006D6D15" w:rsidP="000114BF">
      <w:pPr>
        <w:pStyle w:val="Odlomakpopisa"/>
        <w:numPr>
          <w:ilvl w:val="0"/>
          <w:numId w:val="33"/>
        </w:numPr>
        <w:spacing w:before="240"/>
        <w:ind w:left="714" w:hanging="357"/>
        <w:rPr>
          <w:rFonts w:ascii="Gill Sans MT" w:eastAsiaTheme="minorHAnsi" w:hAnsi="Gill Sans MT"/>
          <w:b/>
          <w:bCs/>
          <w:sz w:val="23"/>
          <w:szCs w:val="23"/>
          <w:lang w:eastAsia="en-US"/>
        </w:rPr>
      </w:pPr>
      <w:r w:rsidRPr="002E5315">
        <w:rPr>
          <w:rFonts w:ascii="Gill Sans MT" w:eastAsiaTheme="minorHAnsi" w:hAnsi="Gill Sans MT"/>
          <w:b/>
          <w:bCs/>
          <w:sz w:val="23"/>
          <w:szCs w:val="23"/>
          <w:lang w:eastAsia="en-US"/>
        </w:rPr>
        <w:t xml:space="preserve">Preispitati nazivlje </w:t>
      </w:r>
      <w:r w:rsidR="00DB1E84" w:rsidRPr="002E5315">
        <w:rPr>
          <w:rFonts w:ascii="Gill Sans MT" w:eastAsiaTheme="minorHAnsi" w:hAnsi="Gill Sans MT"/>
          <w:b/>
          <w:bCs/>
          <w:sz w:val="23"/>
          <w:szCs w:val="23"/>
          <w:lang w:eastAsia="en-US"/>
        </w:rPr>
        <w:t>"</w:t>
      </w:r>
      <w:r w:rsidRPr="002E5315">
        <w:rPr>
          <w:rFonts w:ascii="Gill Sans MT" w:eastAsiaTheme="minorHAnsi" w:hAnsi="Gill Sans MT"/>
          <w:b/>
          <w:bCs/>
          <w:sz w:val="23"/>
          <w:szCs w:val="23"/>
          <w:lang w:eastAsia="en-US"/>
        </w:rPr>
        <w:t>povjerenik za informiranje</w:t>
      </w:r>
      <w:r w:rsidR="00DB1E84" w:rsidRPr="002E5315">
        <w:rPr>
          <w:rFonts w:ascii="Gill Sans MT" w:eastAsiaTheme="minorHAnsi" w:hAnsi="Gill Sans MT"/>
          <w:b/>
          <w:bCs/>
          <w:sz w:val="23"/>
          <w:szCs w:val="23"/>
          <w:lang w:eastAsia="en-US"/>
        </w:rPr>
        <w:t>"</w:t>
      </w:r>
      <w:r w:rsidRPr="002E5315">
        <w:rPr>
          <w:rFonts w:ascii="Gill Sans MT" w:eastAsiaTheme="minorHAnsi" w:hAnsi="Gill Sans MT"/>
          <w:b/>
          <w:bCs/>
          <w:sz w:val="23"/>
          <w:szCs w:val="23"/>
          <w:lang w:eastAsia="en-US"/>
        </w:rPr>
        <w:t xml:space="preserve"> i "službenik za informiranje"</w:t>
      </w:r>
    </w:p>
    <w:p w14:paraId="632F96B9" w14:textId="77777777" w:rsidR="006D6D15" w:rsidRPr="002E5315" w:rsidRDefault="006D6D15" w:rsidP="006D6D15">
      <w:pPr>
        <w:rPr>
          <w:rFonts w:eastAsiaTheme="minorHAnsi"/>
          <w:szCs w:val="23"/>
          <w:lang w:eastAsia="en-US"/>
        </w:rPr>
      </w:pPr>
      <w:r w:rsidRPr="002E5315">
        <w:rPr>
          <w:rFonts w:eastAsiaTheme="minorHAnsi"/>
          <w:szCs w:val="23"/>
          <w:lang w:eastAsia="en-US"/>
        </w:rPr>
        <w:t>Dosadašnja praksa provedbe Zakona, ukazuje na nerazumijevanje i nesnalaženja s nazivljem „službenik za informiranje“ i „povjerenik za informiranje“. Naime, nazivi se povezuju s informiranjem kao djelatnošću, a ne sa specijaliziranim područjem – pravom na pristup informacijama tijela javne vlasti. Nazivlje je neprecizno i u odnosu na ustavnu definiciju „omogućavanja prava na pristup informacijama koje posjeduju tijela javne vlasti“. Stoga se čini potrebnim da se ono učini prepoznatljivijim i razumljivijim, a samim time i povezanijim sa prirodom ovog instituta. Mogući prijedlozi su: „povjerenik za pristup informacijama (tijela javne vlasti)“; „službenik za pristup informacijama“ ili slično.</w:t>
      </w:r>
    </w:p>
    <w:p w14:paraId="661ED8B7" w14:textId="4756ACCA" w:rsidR="006D6D15" w:rsidRPr="002E5315" w:rsidRDefault="006D6D15" w:rsidP="000114BF">
      <w:pPr>
        <w:pStyle w:val="Odlomakpopisa"/>
        <w:numPr>
          <w:ilvl w:val="0"/>
          <w:numId w:val="33"/>
        </w:numPr>
        <w:spacing w:before="240"/>
        <w:ind w:left="714" w:hanging="357"/>
        <w:rPr>
          <w:rFonts w:ascii="Gill Sans MT" w:eastAsiaTheme="minorHAnsi" w:hAnsi="Gill Sans MT"/>
          <w:b/>
          <w:bCs/>
          <w:sz w:val="23"/>
          <w:szCs w:val="23"/>
          <w:lang w:eastAsia="en-US"/>
        </w:rPr>
      </w:pPr>
      <w:r w:rsidRPr="002E5315">
        <w:rPr>
          <w:rFonts w:ascii="Gill Sans MT" w:eastAsiaTheme="minorHAnsi" w:hAnsi="Gill Sans MT"/>
          <w:b/>
          <w:bCs/>
          <w:sz w:val="23"/>
          <w:szCs w:val="23"/>
          <w:lang w:eastAsia="en-US"/>
        </w:rPr>
        <w:t xml:space="preserve">Obveza transpozicije Direktive EU u Zakon </w:t>
      </w:r>
    </w:p>
    <w:p w14:paraId="768D46FD" w14:textId="77777777" w:rsidR="00C05C15" w:rsidRPr="002E5315" w:rsidRDefault="006D6D15" w:rsidP="00C05C15">
      <w:pPr>
        <w:spacing w:after="200"/>
        <w:rPr>
          <w:rFonts w:eastAsiaTheme="minorHAnsi"/>
          <w:b/>
          <w:bCs/>
          <w:i/>
          <w:iCs/>
          <w:szCs w:val="23"/>
          <w:lang w:eastAsia="en-US"/>
        </w:rPr>
      </w:pPr>
      <w:r w:rsidRPr="002E5315">
        <w:rPr>
          <w:rFonts w:eastAsiaTheme="minorHAnsi"/>
          <w:szCs w:val="23"/>
          <w:lang w:eastAsia="en-US"/>
        </w:rPr>
        <w:t>Obzirom na obvezu transpozicije Direktive o otvorenim podacima i ponovnoj uporabi informacija javnog sektora do 21. srpnja 2021., Povjerenik je inicijalno upoznao Ministarstvo uprave – nositelja izrade nacrta Zakona, s potrebnim izmjenama ZPPI-ja vezanim uz preuzimanje Direktive, s ciljem ublažavanja prepreka za ponovnu uporabu te izrazio spremnost sudjelovanja u radnoj grupi koja će pripremiti ovu</w:t>
      </w:r>
      <w:r w:rsidRPr="002E5315">
        <w:rPr>
          <w:rFonts w:eastAsiaTheme="minorHAnsi"/>
          <w:lang w:eastAsia="en-US"/>
        </w:rPr>
        <w:t xml:space="preserve"> i druge potrebne novele Zakona</w:t>
      </w:r>
      <w:r w:rsidR="0085052B" w:rsidRPr="002E5315">
        <w:rPr>
          <w:rFonts w:eastAsiaTheme="minorHAnsi"/>
          <w:lang w:eastAsia="en-US"/>
        </w:rPr>
        <w:t>.</w:t>
      </w:r>
    </w:p>
    <w:p w14:paraId="2AD1015F" w14:textId="24E94AA1" w:rsidR="00C05C15" w:rsidRPr="002E5315" w:rsidRDefault="00C05C15" w:rsidP="00C05C15">
      <w:pPr>
        <w:spacing w:before="480" w:after="200"/>
        <w:rPr>
          <w:rFonts w:eastAsiaTheme="minorHAnsi"/>
          <w:b/>
          <w:bCs/>
          <w:i/>
          <w:iCs/>
          <w:szCs w:val="23"/>
          <w:lang w:eastAsia="en-US"/>
        </w:rPr>
      </w:pPr>
      <w:r w:rsidRPr="002E5315">
        <w:rPr>
          <w:rFonts w:eastAsiaTheme="minorHAnsi"/>
          <w:b/>
          <w:bCs/>
          <w:i/>
          <w:iCs/>
          <w:szCs w:val="23"/>
          <w:lang w:eastAsia="en-US"/>
        </w:rPr>
        <w:t>Ostale preporuke</w:t>
      </w:r>
    </w:p>
    <w:p w14:paraId="2F2E6843" w14:textId="77777777" w:rsidR="00C05C15" w:rsidRPr="002E5315" w:rsidRDefault="00C05C15" w:rsidP="00C05C15">
      <w:pPr>
        <w:spacing w:after="200"/>
        <w:rPr>
          <w:rFonts w:eastAsiaTheme="minorHAnsi"/>
          <w:szCs w:val="23"/>
          <w:lang w:eastAsia="en-US"/>
        </w:rPr>
      </w:pPr>
      <w:r w:rsidRPr="002E5315">
        <w:rPr>
          <w:rFonts w:eastAsiaTheme="minorHAnsi"/>
          <w:szCs w:val="23"/>
          <w:lang w:eastAsia="en-US"/>
        </w:rPr>
        <w:t>Višegodišnja primjena ZPPI-ja i dalje ukazuje i na neusklađenost šireg nacionalnog normativnog okvira povezanog s pravom na pristup informacijama, stoga se i u ovom izvješću predlaže intervenirati u propise povezane s pravom na pristup informacijama, a osobito:</w:t>
      </w:r>
    </w:p>
    <w:p w14:paraId="076A7B34" w14:textId="77777777" w:rsidR="00C05C15" w:rsidRPr="002E5315" w:rsidRDefault="00C05C15" w:rsidP="000114BF">
      <w:pPr>
        <w:pStyle w:val="Odlomakpopisa"/>
        <w:numPr>
          <w:ilvl w:val="0"/>
          <w:numId w:val="34"/>
        </w:numPr>
        <w:spacing w:after="200"/>
        <w:rPr>
          <w:rFonts w:ascii="Gill Sans MT" w:eastAsiaTheme="minorHAnsi" w:hAnsi="Gill Sans MT"/>
          <w:sz w:val="23"/>
          <w:szCs w:val="23"/>
          <w:lang w:eastAsia="en-US"/>
        </w:rPr>
      </w:pPr>
      <w:r w:rsidRPr="002E5315">
        <w:rPr>
          <w:rFonts w:ascii="Gill Sans MT" w:eastAsiaTheme="minorHAnsi" w:hAnsi="Gill Sans MT"/>
          <w:sz w:val="23"/>
          <w:szCs w:val="23"/>
          <w:lang w:eastAsia="en-US"/>
        </w:rPr>
        <w:t>modernizirati Zakon o medijima, posebno s motrišta osiguranja veće dostupnosti informacija za novinare</w:t>
      </w:r>
    </w:p>
    <w:p w14:paraId="3DE758B8" w14:textId="4D531571" w:rsidR="00C05C15" w:rsidRPr="002E5315" w:rsidRDefault="00C05C15" w:rsidP="000114BF">
      <w:pPr>
        <w:pStyle w:val="Odlomakpopisa"/>
        <w:numPr>
          <w:ilvl w:val="0"/>
          <w:numId w:val="34"/>
        </w:numPr>
        <w:spacing w:after="200"/>
        <w:rPr>
          <w:rFonts w:ascii="Gill Sans MT" w:eastAsiaTheme="minorHAnsi" w:hAnsi="Gill Sans MT"/>
          <w:sz w:val="23"/>
          <w:szCs w:val="23"/>
          <w:lang w:eastAsia="en-US"/>
        </w:rPr>
      </w:pPr>
      <w:r w:rsidRPr="002E5315">
        <w:rPr>
          <w:rFonts w:ascii="Gill Sans MT" w:eastAsiaTheme="minorHAnsi" w:hAnsi="Gill Sans MT"/>
          <w:sz w:val="23"/>
          <w:szCs w:val="23"/>
          <w:lang w:eastAsia="en-US"/>
        </w:rPr>
        <w:t>donijeti suvremeni zakon kojim će se urediti pitanje poslovne i profesionalne tajne te povjerljivih podataka.</w:t>
      </w:r>
    </w:p>
    <w:p w14:paraId="08ED2E91" w14:textId="4D34E998" w:rsidR="00C05C15" w:rsidRPr="002E5315" w:rsidRDefault="00C05C15" w:rsidP="00C05C15">
      <w:pPr>
        <w:spacing w:after="200"/>
        <w:rPr>
          <w:rFonts w:eastAsiaTheme="minorHAnsi"/>
          <w:szCs w:val="23"/>
          <w:lang w:eastAsia="en-US"/>
        </w:rPr>
      </w:pPr>
      <w:r w:rsidRPr="002E5315">
        <w:rPr>
          <w:rFonts w:eastAsiaTheme="minorHAnsi"/>
          <w:szCs w:val="23"/>
          <w:lang w:eastAsia="en-US"/>
        </w:rPr>
        <w:t>U odnosu na međunarodne dokumente i dalje se predlaže pokretanje postupka pristupanja Protokolu br. 207 uz Europsku povelju o lokalnoj samoupravi Vijeća Europe o pravu na sudjelovanje u poslovima lokalnih vlasti.</w:t>
      </w:r>
    </w:p>
    <w:p w14:paraId="57AB4422" w14:textId="4FE5973F" w:rsidR="00D14777" w:rsidRPr="002E5315" w:rsidRDefault="00C05C15" w:rsidP="00C05C15">
      <w:pPr>
        <w:rPr>
          <w:rFonts w:eastAsiaTheme="minorHAnsi"/>
          <w:szCs w:val="23"/>
          <w:lang w:eastAsia="en-US"/>
        </w:rPr>
      </w:pPr>
      <w:r w:rsidRPr="002E5315">
        <w:rPr>
          <w:rFonts w:eastAsiaTheme="minorHAnsi"/>
          <w:szCs w:val="23"/>
          <w:lang w:eastAsia="en-US"/>
        </w:rPr>
        <w:t>Zaključno, sustavnom realizacijom novih, kao i redefiniranih prioriteta djelovanja te usvajanjem prijedloga i preporuka za otklanjanje nedostataka i nepravilnosti zasigurno će se osigurati stalni rast razine provedbe Zakona, a time i ispunjenje njegove svrhe – što šire dostupnosti informacija od javnog interesa koje su u posjedu tijela javne vlasti.</w:t>
      </w:r>
    </w:p>
    <w:p w14:paraId="35E82AD2" w14:textId="77777777" w:rsidR="00D14777" w:rsidRPr="002E5315" w:rsidRDefault="00D14777">
      <w:pPr>
        <w:spacing w:after="0" w:line="240" w:lineRule="auto"/>
        <w:jc w:val="left"/>
        <w:rPr>
          <w:rFonts w:eastAsiaTheme="minorHAnsi"/>
          <w:szCs w:val="23"/>
          <w:lang w:eastAsia="en-US"/>
        </w:rPr>
      </w:pPr>
      <w:r w:rsidRPr="002E5315">
        <w:rPr>
          <w:rFonts w:eastAsiaTheme="minorHAnsi"/>
          <w:szCs w:val="23"/>
          <w:lang w:eastAsia="en-US"/>
        </w:rPr>
        <w:br w:type="page"/>
      </w:r>
    </w:p>
    <w:p w14:paraId="2F57A1C4" w14:textId="77777777" w:rsidR="009A290C" w:rsidRPr="002E5315" w:rsidRDefault="009A290C" w:rsidP="00C05C15">
      <w:pPr>
        <w:rPr>
          <w:b/>
          <w:szCs w:val="23"/>
        </w:rPr>
      </w:pPr>
    </w:p>
    <w:p w14:paraId="549F5636" w14:textId="77777777" w:rsidR="009A290C" w:rsidRPr="002E5315" w:rsidRDefault="009A290C" w:rsidP="005B2FB3">
      <w:pPr>
        <w:rPr>
          <w:b/>
          <w:szCs w:val="23"/>
        </w:rPr>
      </w:pPr>
    </w:p>
    <w:p w14:paraId="7FBB3EAA" w14:textId="77777777" w:rsidR="007B6C4B" w:rsidRPr="002E5315" w:rsidRDefault="007B6C4B" w:rsidP="005B2FB3">
      <w:pPr>
        <w:rPr>
          <w:b/>
          <w:szCs w:val="23"/>
        </w:rPr>
      </w:pPr>
    </w:p>
    <w:p w14:paraId="4D5FF2EC" w14:textId="77777777" w:rsidR="007B6C4B" w:rsidRPr="002E5315" w:rsidRDefault="007B6C4B" w:rsidP="005B2FB3">
      <w:pPr>
        <w:rPr>
          <w:b/>
          <w:szCs w:val="23"/>
        </w:rPr>
      </w:pPr>
    </w:p>
    <w:p w14:paraId="74F7289D" w14:textId="77777777" w:rsidR="007B6C4B" w:rsidRPr="002E5315" w:rsidRDefault="007B6C4B" w:rsidP="005B2FB3">
      <w:pPr>
        <w:rPr>
          <w:b/>
          <w:szCs w:val="23"/>
        </w:rPr>
      </w:pPr>
    </w:p>
    <w:p w14:paraId="48DE09EB" w14:textId="77777777" w:rsidR="007B6C4B" w:rsidRPr="002E5315" w:rsidRDefault="007B6C4B" w:rsidP="005B2FB3">
      <w:pPr>
        <w:rPr>
          <w:b/>
          <w:szCs w:val="23"/>
        </w:rPr>
      </w:pPr>
    </w:p>
    <w:p w14:paraId="092F5205" w14:textId="77777777" w:rsidR="007B6C4B" w:rsidRPr="002E5315" w:rsidRDefault="007B6C4B" w:rsidP="005B2FB3">
      <w:pPr>
        <w:rPr>
          <w:b/>
          <w:szCs w:val="23"/>
        </w:rPr>
      </w:pPr>
    </w:p>
    <w:p w14:paraId="776A2E87" w14:textId="77777777" w:rsidR="007B6C4B" w:rsidRPr="002E5315" w:rsidRDefault="007B6C4B" w:rsidP="005B2FB3">
      <w:pPr>
        <w:rPr>
          <w:b/>
          <w:szCs w:val="23"/>
        </w:rPr>
      </w:pPr>
    </w:p>
    <w:p w14:paraId="3F87F165" w14:textId="77777777" w:rsidR="007B6C4B" w:rsidRPr="002E5315" w:rsidRDefault="007B6C4B" w:rsidP="005B2FB3">
      <w:pPr>
        <w:rPr>
          <w:b/>
          <w:szCs w:val="23"/>
        </w:rPr>
      </w:pPr>
    </w:p>
    <w:p w14:paraId="5D448F60" w14:textId="77777777" w:rsidR="007B6C4B" w:rsidRPr="002E5315" w:rsidRDefault="007B6C4B" w:rsidP="005B2FB3">
      <w:pPr>
        <w:rPr>
          <w:b/>
          <w:szCs w:val="23"/>
        </w:rPr>
      </w:pPr>
    </w:p>
    <w:p w14:paraId="2A3D2DFE" w14:textId="77777777" w:rsidR="007B6C4B" w:rsidRPr="002E5315" w:rsidRDefault="007B6C4B" w:rsidP="005B2FB3">
      <w:pPr>
        <w:rPr>
          <w:b/>
          <w:szCs w:val="23"/>
        </w:rPr>
      </w:pPr>
    </w:p>
    <w:p w14:paraId="081A3421" w14:textId="77777777" w:rsidR="007B6C4B" w:rsidRPr="002E5315" w:rsidRDefault="007B6C4B" w:rsidP="005B2FB3">
      <w:pPr>
        <w:rPr>
          <w:b/>
          <w:szCs w:val="23"/>
        </w:rPr>
      </w:pPr>
    </w:p>
    <w:p w14:paraId="704E9B12" w14:textId="77777777" w:rsidR="007B6C4B" w:rsidRPr="002E5315" w:rsidRDefault="007B6C4B" w:rsidP="005B2FB3">
      <w:pPr>
        <w:rPr>
          <w:b/>
          <w:szCs w:val="23"/>
        </w:rPr>
      </w:pPr>
    </w:p>
    <w:p w14:paraId="129FED84" w14:textId="77777777" w:rsidR="007B6C4B" w:rsidRPr="002E5315" w:rsidRDefault="007B6C4B" w:rsidP="005B2FB3">
      <w:pPr>
        <w:rPr>
          <w:b/>
          <w:szCs w:val="23"/>
        </w:rPr>
      </w:pPr>
    </w:p>
    <w:p w14:paraId="1C678AB1" w14:textId="77777777" w:rsidR="007B6C4B" w:rsidRPr="002E5315" w:rsidRDefault="007B6C4B" w:rsidP="005B2FB3">
      <w:pPr>
        <w:rPr>
          <w:b/>
          <w:szCs w:val="23"/>
        </w:rPr>
      </w:pPr>
    </w:p>
    <w:p w14:paraId="4B406272" w14:textId="77777777" w:rsidR="007B6C4B" w:rsidRPr="002E5315" w:rsidRDefault="007B6C4B" w:rsidP="005B2FB3">
      <w:pPr>
        <w:rPr>
          <w:b/>
          <w:szCs w:val="23"/>
        </w:rPr>
      </w:pPr>
    </w:p>
    <w:p w14:paraId="000D8776" w14:textId="77777777" w:rsidR="007B6C4B" w:rsidRPr="002E5315" w:rsidRDefault="007B6C4B" w:rsidP="005B2FB3">
      <w:pPr>
        <w:rPr>
          <w:b/>
          <w:szCs w:val="23"/>
        </w:rPr>
      </w:pPr>
    </w:p>
    <w:p w14:paraId="22125764" w14:textId="77777777" w:rsidR="007B6C4B" w:rsidRPr="002E5315" w:rsidRDefault="007B6C4B" w:rsidP="005B2FB3">
      <w:pPr>
        <w:rPr>
          <w:b/>
          <w:szCs w:val="23"/>
        </w:rPr>
      </w:pPr>
    </w:p>
    <w:p w14:paraId="34AF6089" w14:textId="77777777" w:rsidR="007B6C4B" w:rsidRPr="002E5315" w:rsidRDefault="007B6C4B" w:rsidP="005B2FB3">
      <w:pPr>
        <w:rPr>
          <w:b/>
          <w:szCs w:val="23"/>
        </w:rPr>
      </w:pPr>
    </w:p>
    <w:p w14:paraId="47173AA4" w14:textId="77777777" w:rsidR="007B6C4B" w:rsidRPr="002E5315" w:rsidRDefault="007B6C4B" w:rsidP="005B2FB3">
      <w:pPr>
        <w:rPr>
          <w:b/>
          <w:szCs w:val="23"/>
        </w:rPr>
      </w:pPr>
    </w:p>
    <w:p w14:paraId="61317B5F" w14:textId="77777777" w:rsidR="007B6C4B" w:rsidRPr="002E5315" w:rsidRDefault="007B6C4B" w:rsidP="005B2FB3">
      <w:pPr>
        <w:rPr>
          <w:b/>
          <w:szCs w:val="23"/>
        </w:rPr>
      </w:pPr>
    </w:p>
    <w:p w14:paraId="4256C487" w14:textId="77777777" w:rsidR="005A446B" w:rsidRPr="002E5315" w:rsidRDefault="00925F71" w:rsidP="005B2FB3">
      <w:pPr>
        <w:rPr>
          <w:b/>
          <w:szCs w:val="23"/>
        </w:rPr>
      </w:pPr>
      <w:r w:rsidRPr="002E5315">
        <w:rPr>
          <w:b/>
          <w:szCs w:val="23"/>
        </w:rPr>
        <w:t>Po</w:t>
      </w:r>
      <w:r w:rsidR="005A446B" w:rsidRPr="002E5315">
        <w:rPr>
          <w:b/>
          <w:szCs w:val="23"/>
        </w:rPr>
        <w:t xml:space="preserve">vjerenik za informiranje </w:t>
      </w:r>
    </w:p>
    <w:p w14:paraId="15BE40CB" w14:textId="1C70E024" w:rsidR="005A446B" w:rsidRPr="002E5315" w:rsidRDefault="005A446B" w:rsidP="005B2FB3">
      <w:pPr>
        <w:rPr>
          <w:b/>
          <w:szCs w:val="23"/>
        </w:rPr>
      </w:pPr>
      <w:r w:rsidRPr="002E5315">
        <w:rPr>
          <w:b/>
          <w:szCs w:val="23"/>
        </w:rPr>
        <w:t>Izvješće o provedbi Zakona o pravu na pristup informacijama za 201</w:t>
      </w:r>
      <w:r w:rsidR="00AB7747" w:rsidRPr="002E5315">
        <w:rPr>
          <w:b/>
          <w:szCs w:val="23"/>
        </w:rPr>
        <w:t>9</w:t>
      </w:r>
      <w:r w:rsidRPr="002E5315">
        <w:rPr>
          <w:b/>
          <w:szCs w:val="23"/>
        </w:rPr>
        <w:t>. godinu</w:t>
      </w:r>
    </w:p>
    <w:p w14:paraId="3EC865BE" w14:textId="415949A3" w:rsidR="005A446B" w:rsidRPr="002E5315" w:rsidRDefault="005A446B" w:rsidP="005B2FB3">
      <w:pPr>
        <w:rPr>
          <w:b/>
          <w:szCs w:val="23"/>
        </w:rPr>
      </w:pPr>
      <w:r w:rsidRPr="002E5315">
        <w:rPr>
          <w:b/>
          <w:szCs w:val="23"/>
        </w:rPr>
        <w:t>Zagreb, ožujak 20</w:t>
      </w:r>
      <w:r w:rsidR="00AB7747" w:rsidRPr="002E5315">
        <w:rPr>
          <w:b/>
          <w:szCs w:val="23"/>
        </w:rPr>
        <w:t>20</w:t>
      </w:r>
      <w:r w:rsidRPr="002E5315">
        <w:rPr>
          <w:b/>
          <w:szCs w:val="23"/>
        </w:rPr>
        <w:t>.</w:t>
      </w:r>
    </w:p>
    <w:p w14:paraId="28F3F421" w14:textId="77777777" w:rsidR="005A446B" w:rsidRPr="002E5315" w:rsidRDefault="005A446B" w:rsidP="005B2FB3">
      <w:pPr>
        <w:rPr>
          <w:szCs w:val="23"/>
        </w:rPr>
      </w:pPr>
    </w:p>
    <w:p w14:paraId="31E9621E" w14:textId="77777777" w:rsidR="005A446B" w:rsidRPr="002E5315" w:rsidRDefault="005A446B" w:rsidP="005B2FB3">
      <w:pPr>
        <w:rPr>
          <w:szCs w:val="23"/>
        </w:rPr>
      </w:pPr>
      <w:r w:rsidRPr="002E5315">
        <w:rPr>
          <w:szCs w:val="23"/>
        </w:rPr>
        <w:t>Pravna osnova</w:t>
      </w:r>
    </w:p>
    <w:p w14:paraId="6165E15A" w14:textId="77777777" w:rsidR="005A446B" w:rsidRPr="002E5315" w:rsidRDefault="005A446B" w:rsidP="005B2FB3">
      <w:pPr>
        <w:rPr>
          <w:rFonts w:cs="Arial"/>
          <w:szCs w:val="23"/>
        </w:rPr>
      </w:pPr>
      <w:r w:rsidRPr="002E5315">
        <w:rPr>
          <w:rFonts w:cs="Arial"/>
          <w:szCs w:val="23"/>
        </w:rPr>
        <w:t>Članak 60. stavak 3. Zakona o pravu na pristup informacijama (</w:t>
      </w:r>
      <w:r w:rsidR="00925F71" w:rsidRPr="002E5315">
        <w:rPr>
          <w:rFonts w:cs="Arial"/>
          <w:szCs w:val="23"/>
        </w:rPr>
        <w:t>NN</w:t>
      </w:r>
      <w:r w:rsidRPr="002E5315">
        <w:rPr>
          <w:rFonts w:cs="Arial"/>
          <w:szCs w:val="23"/>
        </w:rPr>
        <w:t xml:space="preserve"> 25/13</w:t>
      </w:r>
      <w:r w:rsidR="00925F71" w:rsidRPr="002E5315">
        <w:rPr>
          <w:rFonts w:cs="Arial"/>
          <w:szCs w:val="23"/>
        </w:rPr>
        <w:t>,</w:t>
      </w:r>
      <w:r w:rsidRPr="002E5315">
        <w:rPr>
          <w:rFonts w:cs="Arial"/>
          <w:szCs w:val="23"/>
        </w:rPr>
        <w:t xml:space="preserve"> 85/15)</w:t>
      </w:r>
    </w:p>
    <w:p w14:paraId="1C832C57" w14:textId="77777777" w:rsidR="00BD77F1" w:rsidRPr="002E5315" w:rsidRDefault="005A446B" w:rsidP="005B2FB3">
      <w:pPr>
        <w:rPr>
          <w:rFonts w:cs="Arial"/>
          <w:szCs w:val="23"/>
        </w:rPr>
      </w:pPr>
      <w:r w:rsidRPr="002E5315">
        <w:rPr>
          <w:rFonts w:cs="Arial"/>
          <w:szCs w:val="23"/>
        </w:rPr>
        <w:t>Članak 214. Poslovnika Hrvatskog sabora (</w:t>
      </w:r>
      <w:r w:rsidR="00BD77F1" w:rsidRPr="002E5315">
        <w:rPr>
          <w:rFonts w:cs="Arial"/>
          <w:szCs w:val="23"/>
        </w:rPr>
        <w:t>NN</w:t>
      </w:r>
      <w:r w:rsidRPr="002E5315">
        <w:rPr>
          <w:rFonts w:cs="Arial"/>
          <w:szCs w:val="23"/>
        </w:rPr>
        <w:t xml:space="preserve"> 81/13</w:t>
      </w:r>
      <w:r w:rsidR="00984901" w:rsidRPr="002E5315">
        <w:rPr>
          <w:rFonts w:cs="Arial"/>
          <w:szCs w:val="23"/>
        </w:rPr>
        <w:t>, 113/16</w:t>
      </w:r>
      <w:r w:rsidR="00E222F7" w:rsidRPr="002E5315">
        <w:rPr>
          <w:rFonts w:cs="Arial"/>
          <w:szCs w:val="23"/>
        </w:rPr>
        <w:t>, 69/17 i 29/18</w:t>
      </w:r>
      <w:r w:rsidRPr="002E5315">
        <w:rPr>
          <w:rFonts w:cs="Arial"/>
          <w:szCs w:val="23"/>
        </w:rPr>
        <w:t>)</w:t>
      </w:r>
    </w:p>
    <w:p w14:paraId="6F48B5A2" w14:textId="6B12E311" w:rsidR="005A446B" w:rsidRPr="002E5315" w:rsidRDefault="005A446B" w:rsidP="005B2FB3">
      <w:pPr>
        <w:rPr>
          <w:rFonts w:cs="Arial"/>
          <w:szCs w:val="23"/>
        </w:rPr>
      </w:pPr>
      <w:r w:rsidRPr="002E5315">
        <w:rPr>
          <w:rFonts w:cs="Arial"/>
          <w:szCs w:val="23"/>
        </w:rPr>
        <w:t xml:space="preserve">Broj stranica: </w:t>
      </w:r>
      <w:r w:rsidR="008D2AF0" w:rsidRPr="002E5315">
        <w:rPr>
          <w:rFonts w:cs="Arial"/>
          <w:szCs w:val="23"/>
        </w:rPr>
        <w:t>1</w:t>
      </w:r>
      <w:r w:rsidR="00B7662A" w:rsidRPr="002E5315">
        <w:rPr>
          <w:rFonts w:cs="Arial"/>
          <w:szCs w:val="23"/>
        </w:rPr>
        <w:t>18</w:t>
      </w:r>
    </w:p>
    <w:sectPr w:rsidR="005A446B" w:rsidRPr="002E5315" w:rsidSect="00A05CD7">
      <w:headerReference w:type="default" r:id="rId44"/>
      <w:footerReference w:type="default" r:id="rId45"/>
      <w:pgSz w:w="11906" w:h="16838"/>
      <w:pgMar w:top="1418" w:right="1417" w:bottom="156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0B9D1" w14:textId="77777777" w:rsidR="00C02639" w:rsidRDefault="00C02639" w:rsidP="000E0533">
      <w:r>
        <w:separator/>
      </w:r>
    </w:p>
  </w:endnote>
  <w:endnote w:type="continuationSeparator" w:id="0">
    <w:p w14:paraId="07557144" w14:textId="77777777" w:rsidR="00C02639" w:rsidRDefault="00C02639" w:rsidP="000E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2B36" w14:textId="77777777" w:rsidR="0083093D" w:rsidRPr="00A2633D" w:rsidRDefault="0083093D" w:rsidP="00226CFE">
    <w:pPr>
      <w:pStyle w:val="Podnoje"/>
      <w:pBdr>
        <w:top w:val="single" w:sz="4" w:space="1" w:color="D9D9D9"/>
      </w:pBdr>
      <w:jc w:val="center"/>
      <w:rPr>
        <w:b/>
      </w:rPr>
    </w:pPr>
  </w:p>
  <w:p w14:paraId="7773A549" w14:textId="77777777" w:rsidR="0083093D" w:rsidRDefault="0083093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EAA0" w14:textId="45CAC7F9" w:rsidR="0083093D" w:rsidRPr="00A2633D" w:rsidRDefault="0083093D" w:rsidP="00226CFE">
    <w:pPr>
      <w:pStyle w:val="Podnoje"/>
      <w:pBdr>
        <w:top w:val="single" w:sz="4" w:space="1" w:color="D9D9D9"/>
      </w:pBdr>
      <w:jc w:val="center"/>
      <w:rPr>
        <w:b/>
      </w:rPr>
    </w:pPr>
    <w:r w:rsidRPr="00A2633D">
      <w:fldChar w:fldCharType="begin"/>
    </w:r>
    <w:r w:rsidRPr="00A2633D">
      <w:instrText xml:space="preserve"> PAGE   \* MERGEFORMAT </w:instrText>
    </w:r>
    <w:r w:rsidRPr="00A2633D">
      <w:fldChar w:fldCharType="separate"/>
    </w:r>
    <w:r w:rsidRPr="005337A3">
      <w:rPr>
        <w:b/>
        <w:noProof/>
      </w:rPr>
      <w:t>66</w:t>
    </w:r>
    <w:r w:rsidRPr="00A2633D">
      <w:fldChar w:fldCharType="end"/>
    </w:r>
  </w:p>
  <w:p w14:paraId="6829E1CD" w14:textId="77777777" w:rsidR="0083093D" w:rsidRDefault="0083093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2C9B" w14:textId="77777777" w:rsidR="00C02639" w:rsidRDefault="00C02639" w:rsidP="000E0533">
      <w:r>
        <w:separator/>
      </w:r>
    </w:p>
  </w:footnote>
  <w:footnote w:type="continuationSeparator" w:id="0">
    <w:p w14:paraId="5785681C" w14:textId="77777777" w:rsidR="00C02639" w:rsidRDefault="00C02639" w:rsidP="000E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63A3" w14:textId="77777777" w:rsidR="0083093D" w:rsidRDefault="0083093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241"/>
      <w:gridCol w:w="1173"/>
    </w:tblGrid>
    <w:tr w:rsidR="0083093D" w14:paraId="189631CD" w14:textId="77777777" w:rsidTr="00C4715E">
      <w:trPr>
        <w:trHeight w:val="64"/>
      </w:trPr>
      <w:tc>
        <w:tcPr>
          <w:tcW w:w="7765" w:type="dxa"/>
        </w:tcPr>
        <w:p w14:paraId="41F95757" w14:textId="77777777" w:rsidR="0083093D" w:rsidRPr="00C4715E" w:rsidRDefault="0083093D" w:rsidP="001A3951">
          <w:pPr>
            <w:pStyle w:val="Zaglavlje"/>
            <w:jc w:val="right"/>
            <w:rPr>
              <w:sz w:val="20"/>
              <w:szCs w:val="20"/>
            </w:rPr>
          </w:pPr>
          <w:r w:rsidRPr="00C4715E">
            <w:rPr>
              <w:sz w:val="20"/>
              <w:szCs w:val="20"/>
            </w:rPr>
            <w:t>Izvješće o provedbi Zakona o pravu na pristup informacijama</w:t>
          </w:r>
        </w:p>
      </w:tc>
      <w:tc>
        <w:tcPr>
          <w:tcW w:w="1105" w:type="dxa"/>
        </w:tcPr>
        <w:p w14:paraId="15988E42" w14:textId="603B68F1" w:rsidR="0083093D" w:rsidRPr="00C4715E" w:rsidRDefault="0083093D" w:rsidP="008226E7">
          <w:pPr>
            <w:pStyle w:val="Zaglavlje"/>
            <w:rPr>
              <w:b/>
              <w:bCs/>
              <w:color w:val="4F81BD"/>
              <w:sz w:val="20"/>
              <w:szCs w:val="20"/>
            </w:rPr>
          </w:pPr>
          <w:r w:rsidRPr="00C4715E">
            <w:rPr>
              <w:b/>
              <w:bCs/>
              <w:sz w:val="20"/>
              <w:szCs w:val="20"/>
            </w:rPr>
            <w:t>201</w:t>
          </w:r>
          <w:r>
            <w:rPr>
              <w:b/>
              <w:bCs/>
              <w:sz w:val="20"/>
              <w:szCs w:val="20"/>
            </w:rPr>
            <w:t>9</w:t>
          </w:r>
          <w:r w:rsidRPr="00C4715E">
            <w:rPr>
              <w:b/>
              <w:bCs/>
              <w:sz w:val="20"/>
              <w:szCs w:val="20"/>
            </w:rPr>
            <w:t>.</w:t>
          </w:r>
        </w:p>
      </w:tc>
    </w:tr>
  </w:tbl>
  <w:p w14:paraId="55014550" w14:textId="77777777" w:rsidR="0083093D" w:rsidRDefault="0083093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3D3"/>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1" w15:restartNumberingAfterBreak="0">
    <w:nsid w:val="02982630"/>
    <w:multiLevelType w:val="hybridMultilevel"/>
    <w:tmpl w:val="74DC86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985660"/>
    <w:multiLevelType w:val="hybridMultilevel"/>
    <w:tmpl w:val="B05E7D68"/>
    <w:lvl w:ilvl="0" w:tplc="20BA041A">
      <w:start w:val="1"/>
      <w:numFmt w:val="bullet"/>
      <w:lvlText w:val=""/>
      <w:lvlJc w:val="left"/>
      <w:pPr>
        <w:ind w:left="720" w:hanging="360"/>
      </w:pPr>
      <w:rPr>
        <w:rFonts w:ascii="Wingdings" w:hAnsi="Wingdings" w:hint="default"/>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217D6"/>
    <w:multiLevelType w:val="hybridMultilevel"/>
    <w:tmpl w:val="6B40FC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0E0EE4"/>
    <w:multiLevelType w:val="hybridMultilevel"/>
    <w:tmpl w:val="676ADFA6"/>
    <w:lvl w:ilvl="0" w:tplc="427049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1E48ED"/>
    <w:multiLevelType w:val="hybridMultilevel"/>
    <w:tmpl w:val="02446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2830EF"/>
    <w:multiLevelType w:val="hybridMultilevel"/>
    <w:tmpl w:val="E5F0D52E"/>
    <w:lvl w:ilvl="0" w:tplc="7FC88034">
      <w:start w:val="1"/>
      <w:numFmt w:val="upperLetter"/>
      <w:pStyle w:val="Glava"/>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1AD46D10"/>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8" w15:restartNumberingAfterBreak="0">
    <w:nsid w:val="1BBD5DE3"/>
    <w:multiLevelType w:val="hybridMultilevel"/>
    <w:tmpl w:val="34389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A68FC"/>
    <w:multiLevelType w:val="hybridMultilevel"/>
    <w:tmpl w:val="8EFCF2D6"/>
    <w:lvl w:ilvl="0" w:tplc="041A0001">
      <w:start w:val="1"/>
      <w:numFmt w:val="bullet"/>
      <w:lvlText w:val=""/>
      <w:lvlJc w:val="left"/>
      <w:pPr>
        <w:ind w:left="1146" w:hanging="360"/>
      </w:pPr>
      <w:rPr>
        <w:rFonts w:ascii="Symbol" w:hAnsi="Symbol" w:hint="default"/>
      </w:rPr>
    </w:lvl>
    <w:lvl w:ilvl="1" w:tplc="87BE24EC">
      <w:start w:val="8"/>
      <w:numFmt w:val="bullet"/>
      <w:lvlText w:val="•"/>
      <w:lvlJc w:val="left"/>
      <w:pPr>
        <w:ind w:left="1866" w:hanging="360"/>
      </w:pPr>
      <w:rPr>
        <w:rFonts w:ascii="Gill Sans MT" w:eastAsia="Times New Roman" w:hAnsi="Gill Sans MT" w:cs="Calibri" w:hint="default"/>
        <w:color w:val="000000"/>
      </w:rPr>
    </w:lvl>
    <w:lvl w:ilvl="2" w:tplc="0C5474DE">
      <w:start w:val="1"/>
      <w:numFmt w:val="decimal"/>
      <w:lvlText w:val="%3."/>
      <w:lvlJc w:val="left"/>
      <w:pPr>
        <w:ind w:left="2766" w:hanging="360"/>
      </w:pPr>
      <w:rPr>
        <w:rFonts w:hint="default"/>
      </w:r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0" w15:restartNumberingAfterBreak="0">
    <w:nsid w:val="1C482B14"/>
    <w:multiLevelType w:val="hybridMultilevel"/>
    <w:tmpl w:val="2AD0F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6D1153"/>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12" w15:restartNumberingAfterBreak="0">
    <w:nsid w:val="25E44DCA"/>
    <w:multiLevelType w:val="hybridMultilevel"/>
    <w:tmpl w:val="FC54B856"/>
    <w:lvl w:ilvl="0" w:tplc="20BA041A">
      <w:start w:val="1"/>
      <w:numFmt w:val="bullet"/>
      <w:lvlText w:val=""/>
      <w:lvlJc w:val="left"/>
      <w:pPr>
        <w:ind w:left="1425" w:hanging="360"/>
      </w:pPr>
      <w:rPr>
        <w:rFonts w:ascii="Wingdings" w:hAnsi="Wingdings" w:hint="default"/>
        <w:sz w:val="16"/>
        <w:szCs w:val="16"/>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 w15:restartNumberingAfterBreak="0">
    <w:nsid w:val="28F45DA7"/>
    <w:multiLevelType w:val="hybridMultilevel"/>
    <w:tmpl w:val="3D0659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610FF5"/>
    <w:multiLevelType w:val="hybridMultilevel"/>
    <w:tmpl w:val="C8C84178"/>
    <w:lvl w:ilvl="0" w:tplc="20BA041A">
      <w:start w:val="1"/>
      <w:numFmt w:val="bullet"/>
      <w:lvlText w:val=""/>
      <w:lvlJc w:val="left"/>
      <w:pPr>
        <w:ind w:left="360" w:hanging="360"/>
      </w:pPr>
      <w:rPr>
        <w:rFonts w:ascii="Wingdings" w:hAnsi="Wingdings" w:hint="default"/>
        <w:sz w:val="16"/>
        <w:szCs w:val="16"/>
      </w:rPr>
    </w:lvl>
    <w:lvl w:ilvl="1" w:tplc="04090019">
      <w:start w:val="1"/>
      <w:numFmt w:val="lowerLetter"/>
      <w:lvlText w:val="%2."/>
      <w:lvlJc w:val="left"/>
      <w:pPr>
        <w:ind w:left="1440" w:hanging="360"/>
      </w:pPr>
    </w:lvl>
    <w:lvl w:ilvl="2" w:tplc="F050D566">
      <w:start w:val="1"/>
      <w:numFmt w:val="decimal"/>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F2E9B"/>
    <w:multiLevelType w:val="hybridMultilevel"/>
    <w:tmpl w:val="D938FA5E"/>
    <w:lvl w:ilvl="0" w:tplc="041A0001">
      <w:start w:val="1"/>
      <w:numFmt w:val="bullet"/>
      <w:lvlText w:val=""/>
      <w:lvlJc w:val="left"/>
      <w:pPr>
        <w:ind w:left="1793" w:hanging="360"/>
      </w:pPr>
      <w:rPr>
        <w:rFonts w:ascii="Symbol" w:hAnsi="Symbol" w:hint="default"/>
      </w:rPr>
    </w:lvl>
    <w:lvl w:ilvl="1" w:tplc="041A0003" w:tentative="1">
      <w:start w:val="1"/>
      <w:numFmt w:val="bullet"/>
      <w:lvlText w:val="o"/>
      <w:lvlJc w:val="left"/>
      <w:pPr>
        <w:ind w:left="2513" w:hanging="360"/>
      </w:pPr>
      <w:rPr>
        <w:rFonts w:ascii="Courier New" w:hAnsi="Courier New" w:cs="Courier New" w:hint="default"/>
      </w:rPr>
    </w:lvl>
    <w:lvl w:ilvl="2" w:tplc="041A0005" w:tentative="1">
      <w:start w:val="1"/>
      <w:numFmt w:val="bullet"/>
      <w:lvlText w:val=""/>
      <w:lvlJc w:val="left"/>
      <w:pPr>
        <w:ind w:left="3233" w:hanging="360"/>
      </w:pPr>
      <w:rPr>
        <w:rFonts w:ascii="Wingdings" w:hAnsi="Wingdings" w:hint="default"/>
      </w:rPr>
    </w:lvl>
    <w:lvl w:ilvl="3" w:tplc="041A0001" w:tentative="1">
      <w:start w:val="1"/>
      <w:numFmt w:val="bullet"/>
      <w:lvlText w:val=""/>
      <w:lvlJc w:val="left"/>
      <w:pPr>
        <w:ind w:left="3953" w:hanging="360"/>
      </w:pPr>
      <w:rPr>
        <w:rFonts w:ascii="Symbol" w:hAnsi="Symbol" w:hint="default"/>
      </w:rPr>
    </w:lvl>
    <w:lvl w:ilvl="4" w:tplc="041A0003" w:tentative="1">
      <w:start w:val="1"/>
      <w:numFmt w:val="bullet"/>
      <w:lvlText w:val="o"/>
      <w:lvlJc w:val="left"/>
      <w:pPr>
        <w:ind w:left="4673" w:hanging="360"/>
      </w:pPr>
      <w:rPr>
        <w:rFonts w:ascii="Courier New" w:hAnsi="Courier New" w:cs="Courier New" w:hint="default"/>
      </w:rPr>
    </w:lvl>
    <w:lvl w:ilvl="5" w:tplc="041A0005" w:tentative="1">
      <w:start w:val="1"/>
      <w:numFmt w:val="bullet"/>
      <w:lvlText w:val=""/>
      <w:lvlJc w:val="left"/>
      <w:pPr>
        <w:ind w:left="5393" w:hanging="360"/>
      </w:pPr>
      <w:rPr>
        <w:rFonts w:ascii="Wingdings" w:hAnsi="Wingdings" w:hint="default"/>
      </w:rPr>
    </w:lvl>
    <w:lvl w:ilvl="6" w:tplc="041A0001" w:tentative="1">
      <w:start w:val="1"/>
      <w:numFmt w:val="bullet"/>
      <w:lvlText w:val=""/>
      <w:lvlJc w:val="left"/>
      <w:pPr>
        <w:ind w:left="6113" w:hanging="360"/>
      </w:pPr>
      <w:rPr>
        <w:rFonts w:ascii="Symbol" w:hAnsi="Symbol" w:hint="default"/>
      </w:rPr>
    </w:lvl>
    <w:lvl w:ilvl="7" w:tplc="041A0003" w:tentative="1">
      <w:start w:val="1"/>
      <w:numFmt w:val="bullet"/>
      <w:lvlText w:val="o"/>
      <w:lvlJc w:val="left"/>
      <w:pPr>
        <w:ind w:left="6833" w:hanging="360"/>
      </w:pPr>
      <w:rPr>
        <w:rFonts w:ascii="Courier New" w:hAnsi="Courier New" w:cs="Courier New" w:hint="default"/>
      </w:rPr>
    </w:lvl>
    <w:lvl w:ilvl="8" w:tplc="041A0005" w:tentative="1">
      <w:start w:val="1"/>
      <w:numFmt w:val="bullet"/>
      <w:lvlText w:val=""/>
      <w:lvlJc w:val="left"/>
      <w:pPr>
        <w:ind w:left="7553" w:hanging="360"/>
      </w:pPr>
      <w:rPr>
        <w:rFonts w:ascii="Wingdings" w:hAnsi="Wingdings" w:hint="default"/>
      </w:rPr>
    </w:lvl>
  </w:abstractNum>
  <w:abstractNum w:abstractNumId="16" w15:restartNumberingAfterBreak="0">
    <w:nsid w:val="36256B2A"/>
    <w:multiLevelType w:val="hybridMultilevel"/>
    <w:tmpl w:val="FD08DBD4"/>
    <w:lvl w:ilvl="0" w:tplc="DFB0153E">
      <w:start w:val="1"/>
      <w:numFmt w:val="bullet"/>
      <w:pStyle w:val="NatkunicaDB1"/>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674CFC"/>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18" w15:restartNumberingAfterBreak="0">
    <w:nsid w:val="36E34F6C"/>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19" w15:restartNumberingAfterBreak="0">
    <w:nsid w:val="37F56742"/>
    <w:multiLevelType w:val="hybridMultilevel"/>
    <w:tmpl w:val="1F903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5F3B82"/>
    <w:multiLevelType w:val="hybridMultilevel"/>
    <w:tmpl w:val="3E3E59C0"/>
    <w:lvl w:ilvl="0" w:tplc="20BA041A">
      <w:start w:val="1"/>
      <w:numFmt w:val="bullet"/>
      <w:lvlText w:val=""/>
      <w:lvlJc w:val="left"/>
      <w:pPr>
        <w:ind w:left="720" w:hanging="360"/>
      </w:pPr>
      <w:rPr>
        <w:rFonts w:ascii="Wingdings" w:hAnsi="Wingdings" w:hint="default"/>
        <w:sz w:val="16"/>
        <w:szCs w:val="16"/>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464747B3"/>
    <w:multiLevelType w:val="hybridMultilevel"/>
    <w:tmpl w:val="B4BE90C6"/>
    <w:lvl w:ilvl="0" w:tplc="908CF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04FDD"/>
    <w:multiLevelType w:val="hybridMultilevel"/>
    <w:tmpl w:val="7F263AA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E792CF1"/>
    <w:multiLevelType w:val="hybridMultilevel"/>
    <w:tmpl w:val="F8DCA8E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560371D4"/>
    <w:multiLevelType w:val="hybridMultilevel"/>
    <w:tmpl w:val="2104E8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6CF0305"/>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26" w15:restartNumberingAfterBreak="0">
    <w:nsid w:val="5D386B0F"/>
    <w:multiLevelType w:val="hybridMultilevel"/>
    <w:tmpl w:val="5454729A"/>
    <w:lvl w:ilvl="0" w:tplc="E954EB2C">
      <w:start w:val="1"/>
      <w:numFmt w:val="bullet"/>
      <w:pStyle w:val="Grupa2"/>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DC15E6"/>
    <w:multiLevelType w:val="hybridMultilevel"/>
    <w:tmpl w:val="AD96D5E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8" w15:restartNumberingAfterBreak="0">
    <w:nsid w:val="6B2707E8"/>
    <w:multiLevelType w:val="hybridMultilevel"/>
    <w:tmpl w:val="5366FCB8"/>
    <w:lvl w:ilvl="0" w:tplc="AFC0D532">
      <w:start w:val="1"/>
      <w:numFmt w:val="bullet"/>
      <w:pStyle w:val="NatkunicaDB2"/>
      <w:lvlText w:val="–"/>
      <w:lvlJc w:val="left"/>
      <w:pPr>
        <w:ind w:left="1713" w:hanging="360"/>
      </w:pPr>
      <w:rPr>
        <w:rFonts w:ascii="Times New Roman" w:hAnsi="Times New Roman" w:cs="Times New Roman" w:hint="default"/>
      </w:rPr>
    </w:lvl>
    <w:lvl w:ilvl="1" w:tplc="041A0003">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9" w15:restartNumberingAfterBreak="0">
    <w:nsid w:val="6FDB6A85"/>
    <w:multiLevelType w:val="hybridMultilevel"/>
    <w:tmpl w:val="7BAAB42A"/>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30" w15:restartNumberingAfterBreak="0">
    <w:nsid w:val="7139703D"/>
    <w:multiLevelType w:val="hybridMultilevel"/>
    <w:tmpl w:val="E42E46CE"/>
    <w:lvl w:ilvl="0" w:tplc="908CF5F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2C5FE8"/>
    <w:multiLevelType w:val="multilevel"/>
    <w:tmpl w:val="41C69338"/>
    <w:name w:val="Naslov"/>
    <w:lvl w:ilvl="0">
      <w:start w:val="1"/>
      <w:numFmt w:val="decimal"/>
      <w:pStyle w:val="Naslov1"/>
      <w:lvlText w:val="%1."/>
      <w:lvlJc w:val="left"/>
      <w:pPr>
        <w:ind w:left="851" w:hanging="454"/>
      </w:pPr>
      <w:rPr>
        <w:rFonts w:ascii="Gill Sans MT" w:hAnsi="Gill Sans MT"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Naslov2"/>
      <w:lvlText w:val="%1.%2."/>
      <w:lvlJc w:val="left"/>
      <w:pPr>
        <w:ind w:left="1247" w:hanging="623"/>
      </w:pPr>
      <w:rPr>
        <w:rFonts w:ascii="Gill Sans MT" w:hAnsi="Gill Sans MT" w:hint="default"/>
        <w:b/>
        <w:i w:val="0"/>
        <w:sz w:val="23"/>
      </w:rPr>
    </w:lvl>
    <w:lvl w:ilvl="2">
      <w:start w:val="1"/>
      <w:numFmt w:val="decimal"/>
      <w:pStyle w:val="Naslov3"/>
      <w:lvlText w:val="%1.%2.%3."/>
      <w:lvlJc w:val="left"/>
      <w:pPr>
        <w:ind w:left="1701" w:hanging="794"/>
      </w:pPr>
      <w:rPr>
        <w:rFonts w:ascii="Gill Sans MT" w:hAnsi="Gill Sans MT" w:hint="default"/>
        <w:b/>
        <w:i w:val="0"/>
        <w:sz w:val="23"/>
      </w:rPr>
    </w:lvl>
    <w:lvl w:ilvl="3">
      <w:start w:val="1"/>
      <w:numFmt w:val="decimal"/>
      <w:pStyle w:val="Naslov4"/>
      <w:lvlText w:val="%1.%2.%3.%4"/>
      <w:lvlJc w:val="left"/>
      <w:pPr>
        <w:ind w:left="1006" w:hanging="864"/>
      </w:pPr>
      <w:rPr>
        <w:rFonts w:hint="default"/>
      </w:rPr>
    </w:lvl>
    <w:lvl w:ilvl="4">
      <w:start w:val="1"/>
      <w:numFmt w:val="decimal"/>
      <w:pStyle w:val="Naslov5"/>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pStyle w:val="Naslov7"/>
      <w:lvlText w:val="%1.%2.%3.%4.%5.%6.%7"/>
      <w:lvlJc w:val="left"/>
      <w:pPr>
        <w:ind w:left="1438" w:hanging="1296"/>
      </w:pPr>
      <w:rPr>
        <w:rFonts w:hint="default"/>
      </w:rPr>
    </w:lvl>
    <w:lvl w:ilvl="7">
      <w:start w:val="1"/>
      <w:numFmt w:val="decimal"/>
      <w:pStyle w:val="Naslov8"/>
      <w:lvlText w:val="%1.%2.%3.%4.%5.%6.%7.%8"/>
      <w:lvlJc w:val="left"/>
      <w:pPr>
        <w:ind w:left="1582" w:hanging="1440"/>
      </w:pPr>
      <w:rPr>
        <w:rFonts w:hint="default"/>
      </w:rPr>
    </w:lvl>
    <w:lvl w:ilvl="8">
      <w:start w:val="1"/>
      <w:numFmt w:val="decimal"/>
      <w:pStyle w:val="Naslov9"/>
      <w:lvlText w:val="%1.%2.%3.%4.%5.%6.%7.%8.%9"/>
      <w:lvlJc w:val="left"/>
      <w:pPr>
        <w:ind w:left="1726" w:hanging="1584"/>
      </w:pPr>
      <w:rPr>
        <w:rFonts w:hint="default"/>
      </w:rPr>
    </w:lvl>
  </w:abstractNum>
  <w:abstractNum w:abstractNumId="32" w15:restartNumberingAfterBreak="0">
    <w:nsid w:val="79ED481C"/>
    <w:multiLevelType w:val="hybridMultilevel"/>
    <w:tmpl w:val="4A4E0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D027FDA"/>
    <w:multiLevelType w:val="hybridMultilevel"/>
    <w:tmpl w:val="5B68FC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8"/>
  </w:num>
  <w:num w:numId="4">
    <w:abstractNumId w:val="26"/>
  </w:num>
  <w:num w:numId="5">
    <w:abstractNumId w:val="2"/>
  </w:num>
  <w:num w:numId="6">
    <w:abstractNumId w:val="15"/>
  </w:num>
  <w:num w:numId="7">
    <w:abstractNumId w:val="22"/>
  </w:num>
  <w:num w:numId="8">
    <w:abstractNumId w:val="20"/>
  </w:num>
  <w:num w:numId="9">
    <w:abstractNumId w:val="10"/>
  </w:num>
  <w:num w:numId="10">
    <w:abstractNumId w:val="23"/>
  </w:num>
  <w:num w:numId="11">
    <w:abstractNumId w:val="1"/>
  </w:num>
  <w:num w:numId="12">
    <w:abstractNumId w:val="27"/>
  </w:num>
  <w:num w:numId="13">
    <w:abstractNumId w:val="12"/>
  </w:num>
  <w:num w:numId="14">
    <w:abstractNumId w:val="9"/>
  </w:num>
  <w:num w:numId="15">
    <w:abstractNumId w:val="6"/>
  </w:num>
  <w:num w:numId="16">
    <w:abstractNumId w:val="14"/>
  </w:num>
  <w:num w:numId="17">
    <w:abstractNumId w:val="5"/>
  </w:num>
  <w:num w:numId="18">
    <w:abstractNumId w:val="33"/>
  </w:num>
  <w:num w:numId="19">
    <w:abstractNumId w:val="21"/>
  </w:num>
  <w:num w:numId="20">
    <w:abstractNumId w:val="32"/>
  </w:num>
  <w:num w:numId="21">
    <w:abstractNumId w:val="30"/>
  </w:num>
  <w:num w:numId="22">
    <w:abstractNumId w:val="13"/>
  </w:num>
  <w:num w:numId="23">
    <w:abstractNumId w:val="8"/>
  </w:num>
  <w:num w:numId="24">
    <w:abstractNumId w:val="19"/>
  </w:num>
  <w:num w:numId="25">
    <w:abstractNumId w:val="0"/>
  </w:num>
  <w:num w:numId="26">
    <w:abstractNumId w:val="18"/>
  </w:num>
  <w:num w:numId="27">
    <w:abstractNumId w:val="7"/>
  </w:num>
  <w:num w:numId="28">
    <w:abstractNumId w:val="11"/>
  </w:num>
  <w:num w:numId="29">
    <w:abstractNumId w:val="17"/>
  </w:num>
  <w:num w:numId="30">
    <w:abstractNumId w:val="25"/>
  </w:num>
  <w:num w:numId="31">
    <w:abstractNumId w:val="29"/>
  </w:num>
  <w:num w:numId="32">
    <w:abstractNumId w:val="3"/>
  </w:num>
  <w:num w:numId="33">
    <w:abstractNumId w:val="4"/>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defaultTableStyle w:val="LightShading-Accent1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181"/>
    <w:rsid w:val="0000064E"/>
    <w:rsid w:val="00001270"/>
    <w:rsid w:val="0000188C"/>
    <w:rsid w:val="00002BDD"/>
    <w:rsid w:val="00004547"/>
    <w:rsid w:val="0000792A"/>
    <w:rsid w:val="00010571"/>
    <w:rsid w:val="00011407"/>
    <w:rsid w:val="000114BF"/>
    <w:rsid w:val="00011793"/>
    <w:rsid w:val="000146A5"/>
    <w:rsid w:val="00014D3B"/>
    <w:rsid w:val="00015102"/>
    <w:rsid w:val="00015266"/>
    <w:rsid w:val="000158AA"/>
    <w:rsid w:val="00015B03"/>
    <w:rsid w:val="00017480"/>
    <w:rsid w:val="000204D3"/>
    <w:rsid w:val="00020A3D"/>
    <w:rsid w:val="0002208C"/>
    <w:rsid w:val="000220C9"/>
    <w:rsid w:val="00024B88"/>
    <w:rsid w:val="00025086"/>
    <w:rsid w:val="00025E90"/>
    <w:rsid w:val="00030C0F"/>
    <w:rsid w:val="00032867"/>
    <w:rsid w:val="00032D6C"/>
    <w:rsid w:val="000331BB"/>
    <w:rsid w:val="00033355"/>
    <w:rsid w:val="0003438D"/>
    <w:rsid w:val="00034BA5"/>
    <w:rsid w:val="00035307"/>
    <w:rsid w:val="00036B5D"/>
    <w:rsid w:val="00037B0F"/>
    <w:rsid w:val="00037D89"/>
    <w:rsid w:val="000408F1"/>
    <w:rsid w:val="00041390"/>
    <w:rsid w:val="000414A2"/>
    <w:rsid w:val="00042453"/>
    <w:rsid w:val="00044760"/>
    <w:rsid w:val="000454A4"/>
    <w:rsid w:val="00045CFF"/>
    <w:rsid w:val="00046D0A"/>
    <w:rsid w:val="0005017A"/>
    <w:rsid w:val="0005023B"/>
    <w:rsid w:val="00050D69"/>
    <w:rsid w:val="00051880"/>
    <w:rsid w:val="000518EF"/>
    <w:rsid w:val="000526CB"/>
    <w:rsid w:val="000531F1"/>
    <w:rsid w:val="00053CEC"/>
    <w:rsid w:val="000541C4"/>
    <w:rsid w:val="00054360"/>
    <w:rsid w:val="000557C4"/>
    <w:rsid w:val="000564B6"/>
    <w:rsid w:val="0005653C"/>
    <w:rsid w:val="000570C6"/>
    <w:rsid w:val="00057C13"/>
    <w:rsid w:val="0006291E"/>
    <w:rsid w:val="00062EB1"/>
    <w:rsid w:val="00062EE7"/>
    <w:rsid w:val="00063441"/>
    <w:rsid w:val="000653A5"/>
    <w:rsid w:val="000661F8"/>
    <w:rsid w:val="00066D7D"/>
    <w:rsid w:val="000703EC"/>
    <w:rsid w:val="0007093E"/>
    <w:rsid w:val="00071F34"/>
    <w:rsid w:val="00072037"/>
    <w:rsid w:val="00072283"/>
    <w:rsid w:val="000723EC"/>
    <w:rsid w:val="000724E4"/>
    <w:rsid w:val="000733F3"/>
    <w:rsid w:val="000741E8"/>
    <w:rsid w:val="0007448C"/>
    <w:rsid w:val="00075079"/>
    <w:rsid w:val="00076D74"/>
    <w:rsid w:val="000801E9"/>
    <w:rsid w:val="000801F6"/>
    <w:rsid w:val="00081928"/>
    <w:rsid w:val="00084919"/>
    <w:rsid w:val="00085956"/>
    <w:rsid w:val="00085BD0"/>
    <w:rsid w:val="00086CB0"/>
    <w:rsid w:val="00086DAC"/>
    <w:rsid w:val="00092838"/>
    <w:rsid w:val="00095099"/>
    <w:rsid w:val="00096312"/>
    <w:rsid w:val="00096E6E"/>
    <w:rsid w:val="00096F8A"/>
    <w:rsid w:val="000A05EF"/>
    <w:rsid w:val="000A24CB"/>
    <w:rsid w:val="000A3010"/>
    <w:rsid w:val="000A30A3"/>
    <w:rsid w:val="000A358A"/>
    <w:rsid w:val="000A4CBF"/>
    <w:rsid w:val="000A558E"/>
    <w:rsid w:val="000A6826"/>
    <w:rsid w:val="000A6D7B"/>
    <w:rsid w:val="000A6F51"/>
    <w:rsid w:val="000B1E35"/>
    <w:rsid w:val="000B70EA"/>
    <w:rsid w:val="000C2F9C"/>
    <w:rsid w:val="000C3734"/>
    <w:rsid w:val="000C39A7"/>
    <w:rsid w:val="000C46FA"/>
    <w:rsid w:val="000C506D"/>
    <w:rsid w:val="000C52B7"/>
    <w:rsid w:val="000C5F92"/>
    <w:rsid w:val="000C6F48"/>
    <w:rsid w:val="000D0CBE"/>
    <w:rsid w:val="000D1EF4"/>
    <w:rsid w:val="000D2516"/>
    <w:rsid w:val="000D2981"/>
    <w:rsid w:val="000D3956"/>
    <w:rsid w:val="000D471C"/>
    <w:rsid w:val="000D57CC"/>
    <w:rsid w:val="000D5934"/>
    <w:rsid w:val="000D5B6F"/>
    <w:rsid w:val="000D6C5E"/>
    <w:rsid w:val="000D6CBE"/>
    <w:rsid w:val="000D7606"/>
    <w:rsid w:val="000D7A0C"/>
    <w:rsid w:val="000D7C3E"/>
    <w:rsid w:val="000E03A1"/>
    <w:rsid w:val="000E0533"/>
    <w:rsid w:val="000E07A7"/>
    <w:rsid w:val="000E126C"/>
    <w:rsid w:val="000E14C2"/>
    <w:rsid w:val="000E15A5"/>
    <w:rsid w:val="000E19F9"/>
    <w:rsid w:val="000E3985"/>
    <w:rsid w:val="000E3C4F"/>
    <w:rsid w:val="000E51E3"/>
    <w:rsid w:val="000E55B5"/>
    <w:rsid w:val="000E5B77"/>
    <w:rsid w:val="000E7028"/>
    <w:rsid w:val="000E773A"/>
    <w:rsid w:val="000F24A3"/>
    <w:rsid w:val="000F41E0"/>
    <w:rsid w:val="000F44D6"/>
    <w:rsid w:val="000F472C"/>
    <w:rsid w:val="000F5D2F"/>
    <w:rsid w:val="000F5F29"/>
    <w:rsid w:val="000F6DC5"/>
    <w:rsid w:val="000F7520"/>
    <w:rsid w:val="001003C0"/>
    <w:rsid w:val="00100FBC"/>
    <w:rsid w:val="001017A3"/>
    <w:rsid w:val="00102C50"/>
    <w:rsid w:val="00102D61"/>
    <w:rsid w:val="001034CE"/>
    <w:rsid w:val="0010436E"/>
    <w:rsid w:val="0010545C"/>
    <w:rsid w:val="0010730E"/>
    <w:rsid w:val="00107D4A"/>
    <w:rsid w:val="0011149C"/>
    <w:rsid w:val="00112195"/>
    <w:rsid w:val="001132FC"/>
    <w:rsid w:val="00114281"/>
    <w:rsid w:val="0011598A"/>
    <w:rsid w:val="00115D90"/>
    <w:rsid w:val="001209E8"/>
    <w:rsid w:val="001211B3"/>
    <w:rsid w:val="00121FD0"/>
    <w:rsid w:val="0012378D"/>
    <w:rsid w:val="00124949"/>
    <w:rsid w:val="00124DA2"/>
    <w:rsid w:val="0012661A"/>
    <w:rsid w:val="00127251"/>
    <w:rsid w:val="00127FEE"/>
    <w:rsid w:val="00130107"/>
    <w:rsid w:val="00130673"/>
    <w:rsid w:val="00130F9F"/>
    <w:rsid w:val="00131452"/>
    <w:rsid w:val="00131C47"/>
    <w:rsid w:val="001329F5"/>
    <w:rsid w:val="00132C0E"/>
    <w:rsid w:val="0013458E"/>
    <w:rsid w:val="001346CA"/>
    <w:rsid w:val="0013515F"/>
    <w:rsid w:val="0013542B"/>
    <w:rsid w:val="0013559A"/>
    <w:rsid w:val="00135C3F"/>
    <w:rsid w:val="00135D94"/>
    <w:rsid w:val="00135F4F"/>
    <w:rsid w:val="00137620"/>
    <w:rsid w:val="00137B1C"/>
    <w:rsid w:val="00140B8E"/>
    <w:rsid w:val="00141A3C"/>
    <w:rsid w:val="001427AE"/>
    <w:rsid w:val="00142CF4"/>
    <w:rsid w:val="00145E1D"/>
    <w:rsid w:val="001475CB"/>
    <w:rsid w:val="00147A7D"/>
    <w:rsid w:val="00147F9B"/>
    <w:rsid w:val="001502AE"/>
    <w:rsid w:val="001502CA"/>
    <w:rsid w:val="00150D70"/>
    <w:rsid w:val="00151033"/>
    <w:rsid w:val="001518D4"/>
    <w:rsid w:val="00151B9F"/>
    <w:rsid w:val="001528CC"/>
    <w:rsid w:val="001537FA"/>
    <w:rsid w:val="00154AB2"/>
    <w:rsid w:val="00154B15"/>
    <w:rsid w:val="00155A4F"/>
    <w:rsid w:val="001565D3"/>
    <w:rsid w:val="0015712F"/>
    <w:rsid w:val="00157350"/>
    <w:rsid w:val="00160FF7"/>
    <w:rsid w:val="0016115C"/>
    <w:rsid w:val="00161718"/>
    <w:rsid w:val="00161ADE"/>
    <w:rsid w:val="00164EC5"/>
    <w:rsid w:val="00166D30"/>
    <w:rsid w:val="001676BC"/>
    <w:rsid w:val="00167758"/>
    <w:rsid w:val="00167E81"/>
    <w:rsid w:val="00170740"/>
    <w:rsid w:val="00170F72"/>
    <w:rsid w:val="0017240B"/>
    <w:rsid w:val="0017267B"/>
    <w:rsid w:val="001737A2"/>
    <w:rsid w:val="0017563A"/>
    <w:rsid w:val="00175D7E"/>
    <w:rsid w:val="0017627F"/>
    <w:rsid w:val="001762EB"/>
    <w:rsid w:val="00180161"/>
    <w:rsid w:val="0018131D"/>
    <w:rsid w:val="00181B0F"/>
    <w:rsid w:val="00182D6C"/>
    <w:rsid w:val="00183E2C"/>
    <w:rsid w:val="00183EC7"/>
    <w:rsid w:val="00183F16"/>
    <w:rsid w:val="00183F9D"/>
    <w:rsid w:val="001857D8"/>
    <w:rsid w:val="00185E91"/>
    <w:rsid w:val="001861A6"/>
    <w:rsid w:val="00186B12"/>
    <w:rsid w:val="00186B48"/>
    <w:rsid w:val="00187ABA"/>
    <w:rsid w:val="00190B72"/>
    <w:rsid w:val="00191161"/>
    <w:rsid w:val="0019312B"/>
    <w:rsid w:val="00193130"/>
    <w:rsid w:val="001931D3"/>
    <w:rsid w:val="00194494"/>
    <w:rsid w:val="001950D7"/>
    <w:rsid w:val="001963AA"/>
    <w:rsid w:val="00196A4C"/>
    <w:rsid w:val="00197A41"/>
    <w:rsid w:val="001A19A9"/>
    <w:rsid w:val="001A1DC0"/>
    <w:rsid w:val="001A3074"/>
    <w:rsid w:val="001A3951"/>
    <w:rsid w:val="001A417A"/>
    <w:rsid w:val="001A42C6"/>
    <w:rsid w:val="001A479E"/>
    <w:rsid w:val="001A5E92"/>
    <w:rsid w:val="001A6DCF"/>
    <w:rsid w:val="001A7A9C"/>
    <w:rsid w:val="001B1CC6"/>
    <w:rsid w:val="001B279F"/>
    <w:rsid w:val="001B2EF8"/>
    <w:rsid w:val="001B419D"/>
    <w:rsid w:val="001B6083"/>
    <w:rsid w:val="001B67E6"/>
    <w:rsid w:val="001B6C74"/>
    <w:rsid w:val="001B7714"/>
    <w:rsid w:val="001C164B"/>
    <w:rsid w:val="001C1A4B"/>
    <w:rsid w:val="001C25BF"/>
    <w:rsid w:val="001C2E2F"/>
    <w:rsid w:val="001C30F3"/>
    <w:rsid w:val="001C4F24"/>
    <w:rsid w:val="001C5385"/>
    <w:rsid w:val="001C6078"/>
    <w:rsid w:val="001C6F2A"/>
    <w:rsid w:val="001D0408"/>
    <w:rsid w:val="001D072E"/>
    <w:rsid w:val="001D090B"/>
    <w:rsid w:val="001D0CB1"/>
    <w:rsid w:val="001D1DD3"/>
    <w:rsid w:val="001D2384"/>
    <w:rsid w:val="001D40DA"/>
    <w:rsid w:val="001D6475"/>
    <w:rsid w:val="001D70C1"/>
    <w:rsid w:val="001D750B"/>
    <w:rsid w:val="001D77FC"/>
    <w:rsid w:val="001D7BBF"/>
    <w:rsid w:val="001E07EB"/>
    <w:rsid w:val="001E1317"/>
    <w:rsid w:val="001E1F58"/>
    <w:rsid w:val="001E41E5"/>
    <w:rsid w:val="001E4DA0"/>
    <w:rsid w:val="001E4E98"/>
    <w:rsid w:val="001E4E9A"/>
    <w:rsid w:val="001E5265"/>
    <w:rsid w:val="001E5D25"/>
    <w:rsid w:val="001E6B6D"/>
    <w:rsid w:val="001E6F02"/>
    <w:rsid w:val="001F01E9"/>
    <w:rsid w:val="001F0861"/>
    <w:rsid w:val="001F0F8F"/>
    <w:rsid w:val="001F12CD"/>
    <w:rsid w:val="001F1588"/>
    <w:rsid w:val="001F2630"/>
    <w:rsid w:val="001F404D"/>
    <w:rsid w:val="001F4470"/>
    <w:rsid w:val="001F5C30"/>
    <w:rsid w:val="001F6519"/>
    <w:rsid w:val="001F6627"/>
    <w:rsid w:val="001F67E8"/>
    <w:rsid w:val="00200794"/>
    <w:rsid w:val="00200A57"/>
    <w:rsid w:val="00201E26"/>
    <w:rsid w:val="00202BE6"/>
    <w:rsid w:val="00203CF2"/>
    <w:rsid w:val="00203FBA"/>
    <w:rsid w:val="002054D0"/>
    <w:rsid w:val="002061FF"/>
    <w:rsid w:val="002064FF"/>
    <w:rsid w:val="002108DC"/>
    <w:rsid w:val="00211309"/>
    <w:rsid w:val="002116CB"/>
    <w:rsid w:val="0021190A"/>
    <w:rsid w:val="00211A0E"/>
    <w:rsid w:val="00211C92"/>
    <w:rsid w:val="00213335"/>
    <w:rsid w:val="00213CCB"/>
    <w:rsid w:val="002149F5"/>
    <w:rsid w:val="00214C9F"/>
    <w:rsid w:val="00215325"/>
    <w:rsid w:val="00215983"/>
    <w:rsid w:val="0021670C"/>
    <w:rsid w:val="00216B28"/>
    <w:rsid w:val="0021720C"/>
    <w:rsid w:val="002176C9"/>
    <w:rsid w:val="002178F4"/>
    <w:rsid w:val="00217E30"/>
    <w:rsid w:val="002209C4"/>
    <w:rsid w:val="00221B16"/>
    <w:rsid w:val="002224E1"/>
    <w:rsid w:val="00223958"/>
    <w:rsid w:val="0022447C"/>
    <w:rsid w:val="002254E8"/>
    <w:rsid w:val="00226CFE"/>
    <w:rsid w:val="00227DA9"/>
    <w:rsid w:val="00230291"/>
    <w:rsid w:val="0023088D"/>
    <w:rsid w:val="00232772"/>
    <w:rsid w:val="00232D8C"/>
    <w:rsid w:val="00232F85"/>
    <w:rsid w:val="00233016"/>
    <w:rsid w:val="002332C0"/>
    <w:rsid w:val="00234048"/>
    <w:rsid w:val="00234DC1"/>
    <w:rsid w:val="00235F6A"/>
    <w:rsid w:val="00236077"/>
    <w:rsid w:val="00237669"/>
    <w:rsid w:val="00237E89"/>
    <w:rsid w:val="00240401"/>
    <w:rsid w:val="002418B3"/>
    <w:rsid w:val="002421A1"/>
    <w:rsid w:val="0024317B"/>
    <w:rsid w:val="00243820"/>
    <w:rsid w:val="0024405F"/>
    <w:rsid w:val="00244408"/>
    <w:rsid w:val="00245217"/>
    <w:rsid w:val="002462CA"/>
    <w:rsid w:val="00246A0D"/>
    <w:rsid w:val="002472C6"/>
    <w:rsid w:val="00247B05"/>
    <w:rsid w:val="00250039"/>
    <w:rsid w:val="002517E7"/>
    <w:rsid w:val="0025235E"/>
    <w:rsid w:val="00253006"/>
    <w:rsid w:val="00253EAB"/>
    <w:rsid w:val="00255941"/>
    <w:rsid w:val="00256457"/>
    <w:rsid w:val="002604B7"/>
    <w:rsid w:val="00260DCC"/>
    <w:rsid w:val="00261345"/>
    <w:rsid w:val="00261748"/>
    <w:rsid w:val="00261850"/>
    <w:rsid w:val="002626C9"/>
    <w:rsid w:val="00262992"/>
    <w:rsid w:val="0026306E"/>
    <w:rsid w:val="00264591"/>
    <w:rsid w:val="0026639F"/>
    <w:rsid w:val="002665DE"/>
    <w:rsid w:val="00267AC7"/>
    <w:rsid w:val="00270113"/>
    <w:rsid w:val="0027295B"/>
    <w:rsid w:val="0027328B"/>
    <w:rsid w:val="00274364"/>
    <w:rsid w:val="00274B8D"/>
    <w:rsid w:val="00274E20"/>
    <w:rsid w:val="0027504F"/>
    <w:rsid w:val="00275604"/>
    <w:rsid w:val="00275956"/>
    <w:rsid w:val="00275D49"/>
    <w:rsid w:val="00275D6B"/>
    <w:rsid w:val="00276536"/>
    <w:rsid w:val="00276C0B"/>
    <w:rsid w:val="00280982"/>
    <w:rsid w:val="002819FF"/>
    <w:rsid w:val="00281BD2"/>
    <w:rsid w:val="0028240D"/>
    <w:rsid w:val="00282AA6"/>
    <w:rsid w:val="00283839"/>
    <w:rsid w:val="00284B56"/>
    <w:rsid w:val="002851EB"/>
    <w:rsid w:val="00285367"/>
    <w:rsid w:val="00290191"/>
    <w:rsid w:val="002913CD"/>
    <w:rsid w:val="00292EA8"/>
    <w:rsid w:val="00293B20"/>
    <w:rsid w:val="002949CB"/>
    <w:rsid w:val="00294B06"/>
    <w:rsid w:val="00297164"/>
    <w:rsid w:val="0029719F"/>
    <w:rsid w:val="002978CE"/>
    <w:rsid w:val="00297AD6"/>
    <w:rsid w:val="002A014A"/>
    <w:rsid w:val="002A018A"/>
    <w:rsid w:val="002A193E"/>
    <w:rsid w:val="002A1D38"/>
    <w:rsid w:val="002A230F"/>
    <w:rsid w:val="002A2C5B"/>
    <w:rsid w:val="002A3166"/>
    <w:rsid w:val="002A3270"/>
    <w:rsid w:val="002A3498"/>
    <w:rsid w:val="002A38AA"/>
    <w:rsid w:val="002A3954"/>
    <w:rsid w:val="002A5829"/>
    <w:rsid w:val="002A6282"/>
    <w:rsid w:val="002A65C7"/>
    <w:rsid w:val="002A714A"/>
    <w:rsid w:val="002B07AC"/>
    <w:rsid w:val="002B0855"/>
    <w:rsid w:val="002B1327"/>
    <w:rsid w:val="002B151C"/>
    <w:rsid w:val="002B1857"/>
    <w:rsid w:val="002B199F"/>
    <w:rsid w:val="002B285D"/>
    <w:rsid w:val="002B2C67"/>
    <w:rsid w:val="002B382B"/>
    <w:rsid w:val="002B44B5"/>
    <w:rsid w:val="002B4B19"/>
    <w:rsid w:val="002B534C"/>
    <w:rsid w:val="002B5A16"/>
    <w:rsid w:val="002B6213"/>
    <w:rsid w:val="002B6548"/>
    <w:rsid w:val="002B6945"/>
    <w:rsid w:val="002B696E"/>
    <w:rsid w:val="002B757E"/>
    <w:rsid w:val="002C0829"/>
    <w:rsid w:val="002C0A55"/>
    <w:rsid w:val="002C1487"/>
    <w:rsid w:val="002C24AC"/>
    <w:rsid w:val="002C2BCC"/>
    <w:rsid w:val="002C32F3"/>
    <w:rsid w:val="002C3A73"/>
    <w:rsid w:val="002C4354"/>
    <w:rsid w:val="002C484B"/>
    <w:rsid w:val="002C66F3"/>
    <w:rsid w:val="002C6E55"/>
    <w:rsid w:val="002C72C0"/>
    <w:rsid w:val="002C7C11"/>
    <w:rsid w:val="002C7CF4"/>
    <w:rsid w:val="002C7D5C"/>
    <w:rsid w:val="002C7DE4"/>
    <w:rsid w:val="002D0AE9"/>
    <w:rsid w:val="002D15F7"/>
    <w:rsid w:val="002D1CB2"/>
    <w:rsid w:val="002D2108"/>
    <w:rsid w:val="002D24BB"/>
    <w:rsid w:val="002D4895"/>
    <w:rsid w:val="002D514E"/>
    <w:rsid w:val="002D535F"/>
    <w:rsid w:val="002D5ACF"/>
    <w:rsid w:val="002E073C"/>
    <w:rsid w:val="002E2DC3"/>
    <w:rsid w:val="002E30B5"/>
    <w:rsid w:val="002E39E1"/>
    <w:rsid w:val="002E3C6D"/>
    <w:rsid w:val="002E5315"/>
    <w:rsid w:val="002E54ED"/>
    <w:rsid w:val="002E702F"/>
    <w:rsid w:val="002E7763"/>
    <w:rsid w:val="002E77E5"/>
    <w:rsid w:val="002E791B"/>
    <w:rsid w:val="002F1383"/>
    <w:rsid w:val="002F1CA6"/>
    <w:rsid w:val="002F1F94"/>
    <w:rsid w:val="002F3D7A"/>
    <w:rsid w:val="002F7988"/>
    <w:rsid w:val="00302018"/>
    <w:rsid w:val="00302953"/>
    <w:rsid w:val="003038F2"/>
    <w:rsid w:val="00304507"/>
    <w:rsid w:val="00304571"/>
    <w:rsid w:val="00304BFB"/>
    <w:rsid w:val="00306035"/>
    <w:rsid w:val="00306B0A"/>
    <w:rsid w:val="003103A4"/>
    <w:rsid w:val="003103CA"/>
    <w:rsid w:val="00312AE5"/>
    <w:rsid w:val="00312DC1"/>
    <w:rsid w:val="00313620"/>
    <w:rsid w:val="00313942"/>
    <w:rsid w:val="003139E7"/>
    <w:rsid w:val="00313CA3"/>
    <w:rsid w:val="00313D18"/>
    <w:rsid w:val="003150CE"/>
    <w:rsid w:val="003152EF"/>
    <w:rsid w:val="0031532E"/>
    <w:rsid w:val="003155BB"/>
    <w:rsid w:val="00315657"/>
    <w:rsid w:val="00315FE0"/>
    <w:rsid w:val="0031669B"/>
    <w:rsid w:val="00316742"/>
    <w:rsid w:val="00317ABC"/>
    <w:rsid w:val="00317BA9"/>
    <w:rsid w:val="00317C71"/>
    <w:rsid w:val="00320234"/>
    <w:rsid w:val="00320244"/>
    <w:rsid w:val="003207AE"/>
    <w:rsid w:val="00320958"/>
    <w:rsid w:val="003215E5"/>
    <w:rsid w:val="003222EE"/>
    <w:rsid w:val="00322B99"/>
    <w:rsid w:val="003235DB"/>
    <w:rsid w:val="003249C1"/>
    <w:rsid w:val="00324FA5"/>
    <w:rsid w:val="003265FE"/>
    <w:rsid w:val="00330879"/>
    <w:rsid w:val="00330A7A"/>
    <w:rsid w:val="00331056"/>
    <w:rsid w:val="00331469"/>
    <w:rsid w:val="00331B25"/>
    <w:rsid w:val="00331F1A"/>
    <w:rsid w:val="00332DFF"/>
    <w:rsid w:val="00333994"/>
    <w:rsid w:val="00333A9E"/>
    <w:rsid w:val="00333AA5"/>
    <w:rsid w:val="00333ABC"/>
    <w:rsid w:val="00334050"/>
    <w:rsid w:val="0033496E"/>
    <w:rsid w:val="00334D89"/>
    <w:rsid w:val="00335290"/>
    <w:rsid w:val="00335863"/>
    <w:rsid w:val="00336534"/>
    <w:rsid w:val="003375D9"/>
    <w:rsid w:val="00341396"/>
    <w:rsid w:val="00342E9C"/>
    <w:rsid w:val="00343BD0"/>
    <w:rsid w:val="00343F2B"/>
    <w:rsid w:val="00344306"/>
    <w:rsid w:val="00344FFE"/>
    <w:rsid w:val="00345E22"/>
    <w:rsid w:val="00346124"/>
    <w:rsid w:val="003470FB"/>
    <w:rsid w:val="00347676"/>
    <w:rsid w:val="00347CA7"/>
    <w:rsid w:val="00350ADC"/>
    <w:rsid w:val="00352744"/>
    <w:rsid w:val="00352FCE"/>
    <w:rsid w:val="00355034"/>
    <w:rsid w:val="003551A1"/>
    <w:rsid w:val="003551CE"/>
    <w:rsid w:val="003554FF"/>
    <w:rsid w:val="00355CB1"/>
    <w:rsid w:val="00355D81"/>
    <w:rsid w:val="003568DA"/>
    <w:rsid w:val="00357842"/>
    <w:rsid w:val="00357A90"/>
    <w:rsid w:val="00360623"/>
    <w:rsid w:val="00361BCD"/>
    <w:rsid w:val="00361CEF"/>
    <w:rsid w:val="003623B2"/>
    <w:rsid w:val="003625B0"/>
    <w:rsid w:val="00363F0B"/>
    <w:rsid w:val="00364627"/>
    <w:rsid w:val="00364639"/>
    <w:rsid w:val="003654CE"/>
    <w:rsid w:val="00365DBF"/>
    <w:rsid w:val="00366C5C"/>
    <w:rsid w:val="003676E7"/>
    <w:rsid w:val="00371282"/>
    <w:rsid w:val="00371DE5"/>
    <w:rsid w:val="00372087"/>
    <w:rsid w:val="003725B4"/>
    <w:rsid w:val="00372C85"/>
    <w:rsid w:val="0037323B"/>
    <w:rsid w:val="0037346E"/>
    <w:rsid w:val="00373D9D"/>
    <w:rsid w:val="00376135"/>
    <w:rsid w:val="00377AEA"/>
    <w:rsid w:val="00381A55"/>
    <w:rsid w:val="00381D8B"/>
    <w:rsid w:val="00382178"/>
    <w:rsid w:val="00383563"/>
    <w:rsid w:val="00383BDA"/>
    <w:rsid w:val="00384C10"/>
    <w:rsid w:val="0038522B"/>
    <w:rsid w:val="003858F8"/>
    <w:rsid w:val="0038648F"/>
    <w:rsid w:val="00386F75"/>
    <w:rsid w:val="00390221"/>
    <w:rsid w:val="00390448"/>
    <w:rsid w:val="00391D78"/>
    <w:rsid w:val="003926ED"/>
    <w:rsid w:val="00392BA3"/>
    <w:rsid w:val="00393AB8"/>
    <w:rsid w:val="00393C6A"/>
    <w:rsid w:val="00393E8B"/>
    <w:rsid w:val="0039416E"/>
    <w:rsid w:val="003951F1"/>
    <w:rsid w:val="003955C0"/>
    <w:rsid w:val="003957FE"/>
    <w:rsid w:val="0039638A"/>
    <w:rsid w:val="0039751E"/>
    <w:rsid w:val="003978DB"/>
    <w:rsid w:val="003A04E8"/>
    <w:rsid w:val="003A0CEA"/>
    <w:rsid w:val="003A0E85"/>
    <w:rsid w:val="003A0F0F"/>
    <w:rsid w:val="003A188D"/>
    <w:rsid w:val="003A1D21"/>
    <w:rsid w:val="003A26E1"/>
    <w:rsid w:val="003A28CF"/>
    <w:rsid w:val="003A2FDE"/>
    <w:rsid w:val="003A2FEF"/>
    <w:rsid w:val="003A34C6"/>
    <w:rsid w:val="003A3810"/>
    <w:rsid w:val="003A4E73"/>
    <w:rsid w:val="003A58C1"/>
    <w:rsid w:val="003A59AC"/>
    <w:rsid w:val="003B166B"/>
    <w:rsid w:val="003B1F38"/>
    <w:rsid w:val="003B229D"/>
    <w:rsid w:val="003B2680"/>
    <w:rsid w:val="003B2F40"/>
    <w:rsid w:val="003B4459"/>
    <w:rsid w:val="003B5EF9"/>
    <w:rsid w:val="003B6F7D"/>
    <w:rsid w:val="003B7F37"/>
    <w:rsid w:val="003C06DC"/>
    <w:rsid w:val="003C0CF6"/>
    <w:rsid w:val="003C0FC6"/>
    <w:rsid w:val="003C1F50"/>
    <w:rsid w:val="003C2163"/>
    <w:rsid w:val="003C23C7"/>
    <w:rsid w:val="003C532F"/>
    <w:rsid w:val="003C57B3"/>
    <w:rsid w:val="003C6AA3"/>
    <w:rsid w:val="003C72F6"/>
    <w:rsid w:val="003C7D9B"/>
    <w:rsid w:val="003D0B92"/>
    <w:rsid w:val="003D1A7D"/>
    <w:rsid w:val="003D2262"/>
    <w:rsid w:val="003D4826"/>
    <w:rsid w:val="003D5C98"/>
    <w:rsid w:val="003D6845"/>
    <w:rsid w:val="003D7A17"/>
    <w:rsid w:val="003D7A3C"/>
    <w:rsid w:val="003E123C"/>
    <w:rsid w:val="003E32A5"/>
    <w:rsid w:val="003E3CB6"/>
    <w:rsid w:val="003E4010"/>
    <w:rsid w:val="003E5754"/>
    <w:rsid w:val="003E5D4A"/>
    <w:rsid w:val="003F05D6"/>
    <w:rsid w:val="003F072D"/>
    <w:rsid w:val="003F155F"/>
    <w:rsid w:val="003F30CD"/>
    <w:rsid w:val="003F36BA"/>
    <w:rsid w:val="003F5064"/>
    <w:rsid w:val="003F5150"/>
    <w:rsid w:val="003F766E"/>
    <w:rsid w:val="004007C0"/>
    <w:rsid w:val="0040151D"/>
    <w:rsid w:val="0040174B"/>
    <w:rsid w:val="00403B99"/>
    <w:rsid w:val="00404474"/>
    <w:rsid w:val="00405303"/>
    <w:rsid w:val="00410383"/>
    <w:rsid w:val="00410570"/>
    <w:rsid w:val="004111DF"/>
    <w:rsid w:val="00411422"/>
    <w:rsid w:val="0041225D"/>
    <w:rsid w:val="0041359E"/>
    <w:rsid w:val="00413612"/>
    <w:rsid w:val="004144C0"/>
    <w:rsid w:val="00416AED"/>
    <w:rsid w:val="00421D40"/>
    <w:rsid w:val="004227A5"/>
    <w:rsid w:val="004234FA"/>
    <w:rsid w:val="0042392F"/>
    <w:rsid w:val="0042442B"/>
    <w:rsid w:val="00425621"/>
    <w:rsid w:val="00425BF8"/>
    <w:rsid w:val="00427BA4"/>
    <w:rsid w:val="00427CA6"/>
    <w:rsid w:val="00427ED1"/>
    <w:rsid w:val="00430151"/>
    <w:rsid w:val="00431AA3"/>
    <w:rsid w:val="004335D3"/>
    <w:rsid w:val="0043420E"/>
    <w:rsid w:val="004347A2"/>
    <w:rsid w:val="00434B06"/>
    <w:rsid w:val="004363A7"/>
    <w:rsid w:val="0044029B"/>
    <w:rsid w:val="00440719"/>
    <w:rsid w:val="004409E4"/>
    <w:rsid w:val="004416D6"/>
    <w:rsid w:val="00441FBB"/>
    <w:rsid w:val="00442015"/>
    <w:rsid w:val="004435C0"/>
    <w:rsid w:val="004447A2"/>
    <w:rsid w:val="00444A11"/>
    <w:rsid w:val="004464A7"/>
    <w:rsid w:val="00446D3D"/>
    <w:rsid w:val="00446DD4"/>
    <w:rsid w:val="00447447"/>
    <w:rsid w:val="00447842"/>
    <w:rsid w:val="00450F39"/>
    <w:rsid w:val="00451D1B"/>
    <w:rsid w:val="00451F06"/>
    <w:rsid w:val="0045356F"/>
    <w:rsid w:val="00454769"/>
    <w:rsid w:val="004559EA"/>
    <w:rsid w:val="00455D7B"/>
    <w:rsid w:val="00456EE0"/>
    <w:rsid w:val="00457245"/>
    <w:rsid w:val="0046267F"/>
    <w:rsid w:val="00463A79"/>
    <w:rsid w:val="00463FB4"/>
    <w:rsid w:val="004640A3"/>
    <w:rsid w:val="004640F4"/>
    <w:rsid w:val="00465821"/>
    <w:rsid w:val="00465BAB"/>
    <w:rsid w:val="00465DFE"/>
    <w:rsid w:val="00466D46"/>
    <w:rsid w:val="00467D7F"/>
    <w:rsid w:val="00470D23"/>
    <w:rsid w:val="00476BF2"/>
    <w:rsid w:val="00477093"/>
    <w:rsid w:val="004772A7"/>
    <w:rsid w:val="004806BF"/>
    <w:rsid w:val="00481270"/>
    <w:rsid w:val="00482707"/>
    <w:rsid w:val="0048395E"/>
    <w:rsid w:val="00483B4C"/>
    <w:rsid w:val="00484401"/>
    <w:rsid w:val="004844B3"/>
    <w:rsid w:val="0048487F"/>
    <w:rsid w:val="00484F47"/>
    <w:rsid w:val="0048655C"/>
    <w:rsid w:val="0048726C"/>
    <w:rsid w:val="00487C73"/>
    <w:rsid w:val="00490123"/>
    <w:rsid w:val="004914BE"/>
    <w:rsid w:val="00491789"/>
    <w:rsid w:val="00491E91"/>
    <w:rsid w:val="004928D8"/>
    <w:rsid w:val="00493074"/>
    <w:rsid w:val="00493827"/>
    <w:rsid w:val="0049473B"/>
    <w:rsid w:val="004975F6"/>
    <w:rsid w:val="00497883"/>
    <w:rsid w:val="004A048B"/>
    <w:rsid w:val="004A3402"/>
    <w:rsid w:val="004A456C"/>
    <w:rsid w:val="004A4B98"/>
    <w:rsid w:val="004A4DC1"/>
    <w:rsid w:val="004A6144"/>
    <w:rsid w:val="004A63C4"/>
    <w:rsid w:val="004A67E6"/>
    <w:rsid w:val="004A7668"/>
    <w:rsid w:val="004B2469"/>
    <w:rsid w:val="004B2CE8"/>
    <w:rsid w:val="004B310C"/>
    <w:rsid w:val="004B330F"/>
    <w:rsid w:val="004B3959"/>
    <w:rsid w:val="004B399D"/>
    <w:rsid w:val="004B4754"/>
    <w:rsid w:val="004B47FF"/>
    <w:rsid w:val="004B615B"/>
    <w:rsid w:val="004B6840"/>
    <w:rsid w:val="004B786B"/>
    <w:rsid w:val="004C2039"/>
    <w:rsid w:val="004C24BD"/>
    <w:rsid w:val="004C3722"/>
    <w:rsid w:val="004C54DD"/>
    <w:rsid w:val="004C5743"/>
    <w:rsid w:val="004C6319"/>
    <w:rsid w:val="004C6F6A"/>
    <w:rsid w:val="004C7148"/>
    <w:rsid w:val="004C7408"/>
    <w:rsid w:val="004C7459"/>
    <w:rsid w:val="004D1BEC"/>
    <w:rsid w:val="004D2672"/>
    <w:rsid w:val="004D3A7E"/>
    <w:rsid w:val="004D3B27"/>
    <w:rsid w:val="004E062A"/>
    <w:rsid w:val="004E0E02"/>
    <w:rsid w:val="004E16E1"/>
    <w:rsid w:val="004E1D19"/>
    <w:rsid w:val="004E2243"/>
    <w:rsid w:val="004E3A83"/>
    <w:rsid w:val="004E44C9"/>
    <w:rsid w:val="004E603A"/>
    <w:rsid w:val="004E78F6"/>
    <w:rsid w:val="004E7E37"/>
    <w:rsid w:val="004E7EF2"/>
    <w:rsid w:val="004F0283"/>
    <w:rsid w:val="004F056D"/>
    <w:rsid w:val="004F1BAF"/>
    <w:rsid w:val="004F2E1D"/>
    <w:rsid w:val="004F36A9"/>
    <w:rsid w:val="004F43D5"/>
    <w:rsid w:val="004F4DC4"/>
    <w:rsid w:val="004F5135"/>
    <w:rsid w:val="004F5DD5"/>
    <w:rsid w:val="004F5F4A"/>
    <w:rsid w:val="004F6190"/>
    <w:rsid w:val="004F6B1E"/>
    <w:rsid w:val="004F6E08"/>
    <w:rsid w:val="004F7162"/>
    <w:rsid w:val="004F73B3"/>
    <w:rsid w:val="004F7C8F"/>
    <w:rsid w:val="00500012"/>
    <w:rsid w:val="005002F2"/>
    <w:rsid w:val="00500DF8"/>
    <w:rsid w:val="005019B8"/>
    <w:rsid w:val="00501F79"/>
    <w:rsid w:val="0050296F"/>
    <w:rsid w:val="00502E80"/>
    <w:rsid w:val="005036DA"/>
    <w:rsid w:val="00504509"/>
    <w:rsid w:val="00504521"/>
    <w:rsid w:val="0050490D"/>
    <w:rsid w:val="00505143"/>
    <w:rsid w:val="005077EC"/>
    <w:rsid w:val="00507992"/>
    <w:rsid w:val="005105D1"/>
    <w:rsid w:val="0051077D"/>
    <w:rsid w:val="00510928"/>
    <w:rsid w:val="00514399"/>
    <w:rsid w:val="005162E0"/>
    <w:rsid w:val="00516E5D"/>
    <w:rsid w:val="00516EEE"/>
    <w:rsid w:val="00517997"/>
    <w:rsid w:val="005202E4"/>
    <w:rsid w:val="005204F1"/>
    <w:rsid w:val="00521AB2"/>
    <w:rsid w:val="00521D5F"/>
    <w:rsid w:val="005232ED"/>
    <w:rsid w:val="00525368"/>
    <w:rsid w:val="005255D8"/>
    <w:rsid w:val="00525AAE"/>
    <w:rsid w:val="00525B25"/>
    <w:rsid w:val="00526B7C"/>
    <w:rsid w:val="00526F45"/>
    <w:rsid w:val="005307B5"/>
    <w:rsid w:val="005326E9"/>
    <w:rsid w:val="0053308B"/>
    <w:rsid w:val="005337A3"/>
    <w:rsid w:val="00533A5D"/>
    <w:rsid w:val="00534145"/>
    <w:rsid w:val="0053414A"/>
    <w:rsid w:val="00534E08"/>
    <w:rsid w:val="005352EC"/>
    <w:rsid w:val="0053586B"/>
    <w:rsid w:val="0053590E"/>
    <w:rsid w:val="00535FC2"/>
    <w:rsid w:val="005361F3"/>
    <w:rsid w:val="00536B24"/>
    <w:rsid w:val="00536C73"/>
    <w:rsid w:val="005377C7"/>
    <w:rsid w:val="00540873"/>
    <w:rsid w:val="00541FEC"/>
    <w:rsid w:val="00542790"/>
    <w:rsid w:val="00545BD9"/>
    <w:rsid w:val="00545E3E"/>
    <w:rsid w:val="005466F0"/>
    <w:rsid w:val="00546DF3"/>
    <w:rsid w:val="00550B98"/>
    <w:rsid w:val="00551514"/>
    <w:rsid w:val="00552A3D"/>
    <w:rsid w:val="00553D7A"/>
    <w:rsid w:val="00553EBA"/>
    <w:rsid w:val="0055512D"/>
    <w:rsid w:val="00555245"/>
    <w:rsid w:val="00555509"/>
    <w:rsid w:val="005562E1"/>
    <w:rsid w:val="005570B7"/>
    <w:rsid w:val="005578BF"/>
    <w:rsid w:val="00557B18"/>
    <w:rsid w:val="00557CF0"/>
    <w:rsid w:val="00560061"/>
    <w:rsid w:val="00560C45"/>
    <w:rsid w:val="00561ABE"/>
    <w:rsid w:val="00562254"/>
    <w:rsid w:val="0056314D"/>
    <w:rsid w:val="005633B8"/>
    <w:rsid w:val="005646E6"/>
    <w:rsid w:val="005647EF"/>
    <w:rsid w:val="0056607A"/>
    <w:rsid w:val="00566265"/>
    <w:rsid w:val="005664D8"/>
    <w:rsid w:val="005666C3"/>
    <w:rsid w:val="00566C65"/>
    <w:rsid w:val="00571567"/>
    <w:rsid w:val="005722A9"/>
    <w:rsid w:val="00572594"/>
    <w:rsid w:val="005728D8"/>
    <w:rsid w:val="00573280"/>
    <w:rsid w:val="005747C6"/>
    <w:rsid w:val="00574B91"/>
    <w:rsid w:val="00575124"/>
    <w:rsid w:val="005753A7"/>
    <w:rsid w:val="00575BEB"/>
    <w:rsid w:val="005765D3"/>
    <w:rsid w:val="005779FE"/>
    <w:rsid w:val="00580296"/>
    <w:rsid w:val="005804D3"/>
    <w:rsid w:val="005815E3"/>
    <w:rsid w:val="005823CA"/>
    <w:rsid w:val="005823D5"/>
    <w:rsid w:val="005865FB"/>
    <w:rsid w:val="005867F1"/>
    <w:rsid w:val="00586CAA"/>
    <w:rsid w:val="0058784D"/>
    <w:rsid w:val="00587BCC"/>
    <w:rsid w:val="00591D9E"/>
    <w:rsid w:val="00592467"/>
    <w:rsid w:val="005924FB"/>
    <w:rsid w:val="00592F1D"/>
    <w:rsid w:val="00593FCC"/>
    <w:rsid w:val="00594006"/>
    <w:rsid w:val="005946D1"/>
    <w:rsid w:val="005949C3"/>
    <w:rsid w:val="0059588A"/>
    <w:rsid w:val="00595F32"/>
    <w:rsid w:val="00596284"/>
    <w:rsid w:val="005962ED"/>
    <w:rsid w:val="0059673F"/>
    <w:rsid w:val="00596C51"/>
    <w:rsid w:val="00596FBA"/>
    <w:rsid w:val="005A1234"/>
    <w:rsid w:val="005A2931"/>
    <w:rsid w:val="005A2E85"/>
    <w:rsid w:val="005A36C3"/>
    <w:rsid w:val="005A41E4"/>
    <w:rsid w:val="005A446B"/>
    <w:rsid w:val="005A6030"/>
    <w:rsid w:val="005A63F4"/>
    <w:rsid w:val="005A6405"/>
    <w:rsid w:val="005A6B4B"/>
    <w:rsid w:val="005A77B6"/>
    <w:rsid w:val="005B05F7"/>
    <w:rsid w:val="005B1429"/>
    <w:rsid w:val="005B15FC"/>
    <w:rsid w:val="005B21A2"/>
    <w:rsid w:val="005B2C2F"/>
    <w:rsid w:val="005B2F51"/>
    <w:rsid w:val="005B2FB3"/>
    <w:rsid w:val="005B3357"/>
    <w:rsid w:val="005B57AD"/>
    <w:rsid w:val="005B73E4"/>
    <w:rsid w:val="005B7527"/>
    <w:rsid w:val="005B79E3"/>
    <w:rsid w:val="005C0024"/>
    <w:rsid w:val="005C0494"/>
    <w:rsid w:val="005C18FC"/>
    <w:rsid w:val="005C3FF4"/>
    <w:rsid w:val="005C510B"/>
    <w:rsid w:val="005C601E"/>
    <w:rsid w:val="005C6698"/>
    <w:rsid w:val="005D06D6"/>
    <w:rsid w:val="005D2650"/>
    <w:rsid w:val="005D26AD"/>
    <w:rsid w:val="005D2EDD"/>
    <w:rsid w:val="005D3181"/>
    <w:rsid w:val="005D44BA"/>
    <w:rsid w:val="005D4A7A"/>
    <w:rsid w:val="005D55E6"/>
    <w:rsid w:val="005D73D1"/>
    <w:rsid w:val="005D7856"/>
    <w:rsid w:val="005E08D3"/>
    <w:rsid w:val="005E0B31"/>
    <w:rsid w:val="005E0D4E"/>
    <w:rsid w:val="005E2114"/>
    <w:rsid w:val="005E2609"/>
    <w:rsid w:val="005E269A"/>
    <w:rsid w:val="005E367F"/>
    <w:rsid w:val="005E3B98"/>
    <w:rsid w:val="005E3BC7"/>
    <w:rsid w:val="005E729E"/>
    <w:rsid w:val="005E7653"/>
    <w:rsid w:val="005E768A"/>
    <w:rsid w:val="005E7B08"/>
    <w:rsid w:val="005E7B9B"/>
    <w:rsid w:val="005F10BB"/>
    <w:rsid w:val="005F12D3"/>
    <w:rsid w:val="005F170B"/>
    <w:rsid w:val="005F1FED"/>
    <w:rsid w:val="005F22BD"/>
    <w:rsid w:val="005F4029"/>
    <w:rsid w:val="005F47B3"/>
    <w:rsid w:val="005F50FC"/>
    <w:rsid w:val="005F5912"/>
    <w:rsid w:val="005F5D63"/>
    <w:rsid w:val="005F682B"/>
    <w:rsid w:val="005F7648"/>
    <w:rsid w:val="00600469"/>
    <w:rsid w:val="006007A8"/>
    <w:rsid w:val="00600839"/>
    <w:rsid w:val="00600926"/>
    <w:rsid w:val="00606B71"/>
    <w:rsid w:val="00607FAD"/>
    <w:rsid w:val="00613121"/>
    <w:rsid w:val="0061382A"/>
    <w:rsid w:val="00615073"/>
    <w:rsid w:val="00615E61"/>
    <w:rsid w:val="00616625"/>
    <w:rsid w:val="0061683E"/>
    <w:rsid w:val="0061795D"/>
    <w:rsid w:val="00617D32"/>
    <w:rsid w:val="00617FE8"/>
    <w:rsid w:val="006219AF"/>
    <w:rsid w:val="00621B92"/>
    <w:rsid w:val="006234CD"/>
    <w:rsid w:val="00623F57"/>
    <w:rsid w:val="00624C5A"/>
    <w:rsid w:val="00625866"/>
    <w:rsid w:val="00625EE1"/>
    <w:rsid w:val="00626A18"/>
    <w:rsid w:val="00627097"/>
    <w:rsid w:val="00630490"/>
    <w:rsid w:val="00631123"/>
    <w:rsid w:val="006311A3"/>
    <w:rsid w:val="006323BD"/>
    <w:rsid w:val="006327DC"/>
    <w:rsid w:val="00633D93"/>
    <w:rsid w:val="006350ED"/>
    <w:rsid w:val="00635378"/>
    <w:rsid w:val="00635887"/>
    <w:rsid w:val="0063621E"/>
    <w:rsid w:val="00641046"/>
    <w:rsid w:val="00641479"/>
    <w:rsid w:val="006430D9"/>
    <w:rsid w:val="00643D99"/>
    <w:rsid w:val="006449DC"/>
    <w:rsid w:val="00644CEE"/>
    <w:rsid w:val="0064508A"/>
    <w:rsid w:val="00646026"/>
    <w:rsid w:val="0064727A"/>
    <w:rsid w:val="00650D94"/>
    <w:rsid w:val="00651417"/>
    <w:rsid w:val="00651724"/>
    <w:rsid w:val="0065188B"/>
    <w:rsid w:val="00652897"/>
    <w:rsid w:val="00653A7F"/>
    <w:rsid w:val="00655A9E"/>
    <w:rsid w:val="00655D13"/>
    <w:rsid w:val="006567B6"/>
    <w:rsid w:val="0065710E"/>
    <w:rsid w:val="00660DF7"/>
    <w:rsid w:val="00661204"/>
    <w:rsid w:val="00661C7E"/>
    <w:rsid w:val="00663A2B"/>
    <w:rsid w:val="00664651"/>
    <w:rsid w:val="00667B23"/>
    <w:rsid w:val="00670E90"/>
    <w:rsid w:val="0067115C"/>
    <w:rsid w:val="0067150C"/>
    <w:rsid w:val="006720C5"/>
    <w:rsid w:val="0067326F"/>
    <w:rsid w:val="00674FDE"/>
    <w:rsid w:val="00676064"/>
    <w:rsid w:val="006765CD"/>
    <w:rsid w:val="00676628"/>
    <w:rsid w:val="0067697C"/>
    <w:rsid w:val="0068042D"/>
    <w:rsid w:val="00680F3F"/>
    <w:rsid w:val="0068155A"/>
    <w:rsid w:val="00682617"/>
    <w:rsid w:val="00683D2E"/>
    <w:rsid w:val="006866A6"/>
    <w:rsid w:val="00686B2C"/>
    <w:rsid w:val="006871B6"/>
    <w:rsid w:val="006907F6"/>
    <w:rsid w:val="00694597"/>
    <w:rsid w:val="006951E4"/>
    <w:rsid w:val="00696005"/>
    <w:rsid w:val="00696202"/>
    <w:rsid w:val="0069620D"/>
    <w:rsid w:val="006A05B7"/>
    <w:rsid w:val="006A077A"/>
    <w:rsid w:val="006A088F"/>
    <w:rsid w:val="006A0B94"/>
    <w:rsid w:val="006A114B"/>
    <w:rsid w:val="006A1BDA"/>
    <w:rsid w:val="006A35B9"/>
    <w:rsid w:val="006A3FF6"/>
    <w:rsid w:val="006A44B0"/>
    <w:rsid w:val="006A5884"/>
    <w:rsid w:val="006A5C34"/>
    <w:rsid w:val="006A6A50"/>
    <w:rsid w:val="006A73A4"/>
    <w:rsid w:val="006B1022"/>
    <w:rsid w:val="006B19B3"/>
    <w:rsid w:val="006B23CB"/>
    <w:rsid w:val="006B2516"/>
    <w:rsid w:val="006B3483"/>
    <w:rsid w:val="006B367E"/>
    <w:rsid w:val="006B38C9"/>
    <w:rsid w:val="006B3F8B"/>
    <w:rsid w:val="006B634D"/>
    <w:rsid w:val="006B67AF"/>
    <w:rsid w:val="006C0AA3"/>
    <w:rsid w:val="006C0B50"/>
    <w:rsid w:val="006C1779"/>
    <w:rsid w:val="006C204E"/>
    <w:rsid w:val="006C294D"/>
    <w:rsid w:val="006C2F99"/>
    <w:rsid w:val="006C6395"/>
    <w:rsid w:val="006C6B67"/>
    <w:rsid w:val="006C731B"/>
    <w:rsid w:val="006D0476"/>
    <w:rsid w:val="006D1C6F"/>
    <w:rsid w:val="006D1DE1"/>
    <w:rsid w:val="006D2C54"/>
    <w:rsid w:val="006D3BBC"/>
    <w:rsid w:val="006D4604"/>
    <w:rsid w:val="006D4B95"/>
    <w:rsid w:val="006D51DE"/>
    <w:rsid w:val="006D589E"/>
    <w:rsid w:val="006D6D15"/>
    <w:rsid w:val="006D71FB"/>
    <w:rsid w:val="006D78A7"/>
    <w:rsid w:val="006E029E"/>
    <w:rsid w:val="006E0AC0"/>
    <w:rsid w:val="006E5EE5"/>
    <w:rsid w:val="006F092A"/>
    <w:rsid w:val="006F0D09"/>
    <w:rsid w:val="006F106C"/>
    <w:rsid w:val="006F13FB"/>
    <w:rsid w:val="006F1BD3"/>
    <w:rsid w:val="006F203E"/>
    <w:rsid w:val="006F2929"/>
    <w:rsid w:val="006F35B3"/>
    <w:rsid w:val="006F3E00"/>
    <w:rsid w:val="006F423A"/>
    <w:rsid w:val="006F4D81"/>
    <w:rsid w:val="006F52B8"/>
    <w:rsid w:val="006F7CE9"/>
    <w:rsid w:val="007004E4"/>
    <w:rsid w:val="00700DEB"/>
    <w:rsid w:val="00701B30"/>
    <w:rsid w:val="00701B32"/>
    <w:rsid w:val="00701B61"/>
    <w:rsid w:val="007021A6"/>
    <w:rsid w:val="007021DE"/>
    <w:rsid w:val="00702C26"/>
    <w:rsid w:val="00703601"/>
    <w:rsid w:val="00705601"/>
    <w:rsid w:val="007067B4"/>
    <w:rsid w:val="00706AEC"/>
    <w:rsid w:val="00706D9B"/>
    <w:rsid w:val="00707DB1"/>
    <w:rsid w:val="00710EB6"/>
    <w:rsid w:val="0071108E"/>
    <w:rsid w:val="00711EB7"/>
    <w:rsid w:val="007120C0"/>
    <w:rsid w:val="007123B5"/>
    <w:rsid w:val="00713BB2"/>
    <w:rsid w:val="00713BE1"/>
    <w:rsid w:val="0071419B"/>
    <w:rsid w:val="00714A43"/>
    <w:rsid w:val="007157A5"/>
    <w:rsid w:val="00715C8F"/>
    <w:rsid w:val="00716FBC"/>
    <w:rsid w:val="007203D0"/>
    <w:rsid w:val="0072067D"/>
    <w:rsid w:val="00721250"/>
    <w:rsid w:val="00721B03"/>
    <w:rsid w:val="0072417B"/>
    <w:rsid w:val="00724AAA"/>
    <w:rsid w:val="00724B97"/>
    <w:rsid w:val="00724D94"/>
    <w:rsid w:val="0072581A"/>
    <w:rsid w:val="00725D71"/>
    <w:rsid w:val="00726360"/>
    <w:rsid w:val="007270A8"/>
    <w:rsid w:val="00727977"/>
    <w:rsid w:val="00730762"/>
    <w:rsid w:val="0073103F"/>
    <w:rsid w:val="00732545"/>
    <w:rsid w:val="0073413E"/>
    <w:rsid w:val="007348B2"/>
    <w:rsid w:val="007350FD"/>
    <w:rsid w:val="00736E8B"/>
    <w:rsid w:val="00736F1D"/>
    <w:rsid w:val="007375C1"/>
    <w:rsid w:val="00737FB4"/>
    <w:rsid w:val="007408B7"/>
    <w:rsid w:val="00740EFE"/>
    <w:rsid w:val="00741E8D"/>
    <w:rsid w:val="0074237B"/>
    <w:rsid w:val="00742911"/>
    <w:rsid w:val="00743092"/>
    <w:rsid w:val="007438EE"/>
    <w:rsid w:val="00743943"/>
    <w:rsid w:val="00743F33"/>
    <w:rsid w:val="007440E9"/>
    <w:rsid w:val="00745371"/>
    <w:rsid w:val="007459CC"/>
    <w:rsid w:val="007465D2"/>
    <w:rsid w:val="00746DFB"/>
    <w:rsid w:val="007475E4"/>
    <w:rsid w:val="007509D7"/>
    <w:rsid w:val="00751EE2"/>
    <w:rsid w:val="0075278A"/>
    <w:rsid w:val="00754B2D"/>
    <w:rsid w:val="007551B2"/>
    <w:rsid w:val="00755D59"/>
    <w:rsid w:val="00756407"/>
    <w:rsid w:val="00756D77"/>
    <w:rsid w:val="00757668"/>
    <w:rsid w:val="00757B1C"/>
    <w:rsid w:val="00760AC6"/>
    <w:rsid w:val="00760D0E"/>
    <w:rsid w:val="00761137"/>
    <w:rsid w:val="007616D4"/>
    <w:rsid w:val="00762471"/>
    <w:rsid w:val="0076418D"/>
    <w:rsid w:val="00766BE0"/>
    <w:rsid w:val="00766CBF"/>
    <w:rsid w:val="007670C3"/>
    <w:rsid w:val="00767EC3"/>
    <w:rsid w:val="00770D15"/>
    <w:rsid w:val="00772838"/>
    <w:rsid w:val="00772C66"/>
    <w:rsid w:val="00773645"/>
    <w:rsid w:val="00774048"/>
    <w:rsid w:val="00774C72"/>
    <w:rsid w:val="00780C25"/>
    <w:rsid w:val="0078169C"/>
    <w:rsid w:val="007823A0"/>
    <w:rsid w:val="00783970"/>
    <w:rsid w:val="00784017"/>
    <w:rsid w:val="00784038"/>
    <w:rsid w:val="00784BB4"/>
    <w:rsid w:val="0078667E"/>
    <w:rsid w:val="00787EC4"/>
    <w:rsid w:val="0079155B"/>
    <w:rsid w:val="00792317"/>
    <w:rsid w:val="00792AF5"/>
    <w:rsid w:val="00793143"/>
    <w:rsid w:val="00794424"/>
    <w:rsid w:val="00796C4B"/>
    <w:rsid w:val="007A003D"/>
    <w:rsid w:val="007A04F9"/>
    <w:rsid w:val="007A1A67"/>
    <w:rsid w:val="007A25CD"/>
    <w:rsid w:val="007A2A59"/>
    <w:rsid w:val="007A30E1"/>
    <w:rsid w:val="007A34FB"/>
    <w:rsid w:val="007A4CB9"/>
    <w:rsid w:val="007A58A8"/>
    <w:rsid w:val="007A6B9E"/>
    <w:rsid w:val="007A776C"/>
    <w:rsid w:val="007A7F36"/>
    <w:rsid w:val="007B06BD"/>
    <w:rsid w:val="007B1209"/>
    <w:rsid w:val="007B21D2"/>
    <w:rsid w:val="007B2A0D"/>
    <w:rsid w:val="007B2CCC"/>
    <w:rsid w:val="007B38EE"/>
    <w:rsid w:val="007B6207"/>
    <w:rsid w:val="007B6A4A"/>
    <w:rsid w:val="007B6C4A"/>
    <w:rsid w:val="007B6C4B"/>
    <w:rsid w:val="007B789E"/>
    <w:rsid w:val="007C1779"/>
    <w:rsid w:val="007C22BA"/>
    <w:rsid w:val="007C2EDE"/>
    <w:rsid w:val="007C3CF9"/>
    <w:rsid w:val="007C46C5"/>
    <w:rsid w:val="007C47ED"/>
    <w:rsid w:val="007C566E"/>
    <w:rsid w:val="007C569F"/>
    <w:rsid w:val="007C7233"/>
    <w:rsid w:val="007C7E63"/>
    <w:rsid w:val="007D17D2"/>
    <w:rsid w:val="007D184F"/>
    <w:rsid w:val="007D366E"/>
    <w:rsid w:val="007D3706"/>
    <w:rsid w:val="007D3F95"/>
    <w:rsid w:val="007D408D"/>
    <w:rsid w:val="007D55C9"/>
    <w:rsid w:val="007D6284"/>
    <w:rsid w:val="007D6B65"/>
    <w:rsid w:val="007D73E5"/>
    <w:rsid w:val="007E178A"/>
    <w:rsid w:val="007E41FB"/>
    <w:rsid w:val="007E51E8"/>
    <w:rsid w:val="007E59C2"/>
    <w:rsid w:val="007E5EA9"/>
    <w:rsid w:val="007E64CD"/>
    <w:rsid w:val="007E67CB"/>
    <w:rsid w:val="007F0FDB"/>
    <w:rsid w:val="007F1E56"/>
    <w:rsid w:val="007F26A7"/>
    <w:rsid w:val="007F3A69"/>
    <w:rsid w:val="007F53E9"/>
    <w:rsid w:val="007F5426"/>
    <w:rsid w:val="00800B17"/>
    <w:rsid w:val="00800B5A"/>
    <w:rsid w:val="00800DF3"/>
    <w:rsid w:val="0080195A"/>
    <w:rsid w:val="00802E85"/>
    <w:rsid w:val="008038B0"/>
    <w:rsid w:val="008038C9"/>
    <w:rsid w:val="00804A4A"/>
    <w:rsid w:val="00806927"/>
    <w:rsid w:val="008106AC"/>
    <w:rsid w:val="00810916"/>
    <w:rsid w:val="008122E3"/>
    <w:rsid w:val="0081379F"/>
    <w:rsid w:val="00813B4A"/>
    <w:rsid w:val="00814DBA"/>
    <w:rsid w:val="00816B84"/>
    <w:rsid w:val="008218DC"/>
    <w:rsid w:val="00821A04"/>
    <w:rsid w:val="008226E7"/>
    <w:rsid w:val="008228F2"/>
    <w:rsid w:val="00823668"/>
    <w:rsid w:val="008239D6"/>
    <w:rsid w:val="00824544"/>
    <w:rsid w:val="0082473C"/>
    <w:rsid w:val="00824DD2"/>
    <w:rsid w:val="00825E17"/>
    <w:rsid w:val="0082728C"/>
    <w:rsid w:val="0082785C"/>
    <w:rsid w:val="00830597"/>
    <w:rsid w:val="0083093D"/>
    <w:rsid w:val="00830A50"/>
    <w:rsid w:val="00834A66"/>
    <w:rsid w:val="0083630B"/>
    <w:rsid w:val="008401D1"/>
    <w:rsid w:val="008403EF"/>
    <w:rsid w:val="008418EF"/>
    <w:rsid w:val="0084208D"/>
    <w:rsid w:val="008427B6"/>
    <w:rsid w:val="00842889"/>
    <w:rsid w:val="0084301F"/>
    <w:rsid w:val="00843BD9"/>
    <w:rsid w:val="0084473E"/>
    <w:rsid w:val="00845215"/>
    <w:rsid w:val="00845797"/>
    <w:rsid w:val="00846282"/>
    <w:rsid w:val="00846A5E"/>
    <w:rsid w:val="0085052B"/>
    <w:rsid w:val="00850C5E"/>
    <w:rsid w:val="008514A7"/>
    <w:rsid w:val="008520EB"/>
    <w:rsid w:val="008526D0"/>
    <w:rsid w:val="00852D60"/>
    <w:rsid w:val="00854F4D"/>
    <w:rsid w:val="0085505C"/>
    <w:rsid w:val="008559DB"/>
    <w:rsid w:val="008560B1"/>
    <w:rsid w:val="00856588"/>
    <w:rsid w:val="00857320"/>
    <w:rsid w:val="00861EBC"/>
    <w:rsid w:val="00861F82"/>
    <w:rsid w:val="008621E1"/>
    <w:rsid w:val="00862A67"/>
    <w:rsid w:val="00863BEB"/>
    <w:rsid w:val="0086451F"/>
    <w:rsid w:val="00864722"/>
    <w:rsid w:val="0086553C"/>
    <w:rsid w:val="00866553"/>
    <w:rsid w:val="0086656A"/>
    <w:rsid w:val="0086677C"/>
    <w:rsid w:val="00866D11"/>
    <w:rsid w:val="00866F4F"/>
    <w:rsid w:val="00867899"/>
    <w:rsid w:val="008703C8"/>
    <w:rsid w:val="00870C71"/>
    <w:rsid w:val="00870D4A"/>
    <w:rsid w:val="00876462"/>
    <w:rsid w:val="00876AA2"/>
    <w:rsid w:val="00877988"/>
    <w:rsid w:val="00880B9B"/>
    <w:rsid w:val="00881810"/>
    <w:rsid w:val="00881ED4"/>
    <w:rsid w:val="008829DD"/>
    <w:rsid w:val="0088328C"/>
    <w:rsid w:val="00885050"/>
    <w:rsid w:val="0088681A"/>
    <w:rsid w:val="0088694B"/>
    <w:rsid w:val="008870FB"/>
    <w:rsid w:val="00887609"/>
    <w:rsid w:val="00890411"/>
    <w:rsid w:val="00891F37"/>
    <w:rsid w:val="008926E1"/>
    <w:rsid w:val="00892BF9"/>
    <w:rsid w:val="00893FE8"/>
    <w:rsid w:val="0089714B"/>
    <w:rsid w:val="008977B3"/>
    <w:rsid w:val="00897DFD"/>
    <w:rsid w:val="008A01F1"/>
    <w:rsid w:val="008A1512"/>
    <w:rsid w:val="008A35F4"/>
    <w:rsid w:val="008A3B61"/>
    <w:rsid w:val="008A4BD1"/>
    <w:rsid w:val="008A50D7"/>
    <w:rsid w:val="008A6819"/>
    <w:rsid w:val="008A6E37"/>
    <w:rsid w:val="008A77DD"/>
    <w:rsid w:val="008B095A"/>
    <w:rsid w:val="008B18D3"/>
    <w:rsid w:val="008B201A"/>
    <w:rsid w:val="008B21BC"/>
    <w:rsid w:val="008B279C"/>
    <w:rsid w:val="008B2E59"/>
    <w:rsid w:val="008B2EC5"/>
    <w:rsid w:val="008B4949"/>
    <w:rsid w:val="008B5A6B"/>
    <w:rsid w:val="008B5EDA"/>
    <w:rsid w:val="008B5EEB"/>
    <w:rsid w:val="008B691C"/>
    <w:rsid w:val="008B7B65"/>
    <w:rsid w:val="008C0762"/>
    <w:rsid w:val="008C07F3"/>
    <w:rsid w:val="008C1671"/>
    <w:rsid w:val="008C1B28"/>
    <w:rsid w:val="008C2314"/>
    <w:rsid w:val="008C26E6"/>
    <w:rsid w:val="008C28BA"/>
    <w:rsid w:val="008C3282"/>
    <w:rsid w:val="008C6772"/>
    <w:rsid w:val="008C69BD"/>
    <w:rsid w:val="008C70D4"/>
    <w:rsid w:val="008C7890"/>
    <w:rsid w:val="008D1EA3"/>
    <w:rsid w:val="008D2AF0"/>
    <w:rsid w:val="008D3C33"/>
    <w:rsid w:val="008D4701"/>
    <w:rsid w:val="008D4A1C"/>
    <w:rsid w:val="008D4ADF"/>
    <w:rsid w:val="008D4AFE"/>
    <w:rsid w:val="008D5431"/>
    <w:rsid w:val="008D5ABD"/>
    <w:rsid w:val="008D5DEA"/>
    <w:rsid w:val="008D5E57"/>
    <w:rsid w:val="008D647B"/>
    <w:rsid w:val="008E23D3"/>
    <w:rsid w:val="008E253D"/>
    <w:rsid w:val="008E29E9"/>
    <w:rsid w:val="008E359C"/>
    <w:rsid w:val="008E38E3"/>
    <w:rsid w:val="008E4783"/>
    <w:rsid w:val="008E55FF"/>
    <w:rsid w:val="008F08C5"/>
    <w:rsid w:val="008F1100"/>
    <w:rsid w:val="008F291B"/>
    <w:rsid w:val="008F2AB4"/>
    <w:rsid w:val="008F2D52"/>
    <w:rsid w:val="008F4300"/>
    <w:rsid w:val="008F4339"/>
    <w:rsid w:val="008F509E"/>
    <w:rsid w:val="008F5E13"/>
    <w:rsid w:val="008F7E49"/>
    <w:rsid w:val="00900A8D"/>
    <w:rsid w:val="00902B83"/>
    <w:rsid w:val="0090322B"/>
    <w:rsid w:val="009045D2"/>
    <w:rsid w:val="00904F89"/>
    <w:rsid w:val="00905C9F"/>
    <w:rsid w:val="00906AD7"/>
    <w:rsid w:val="00906C15"/>
    <w:rsid w:val="009073CF"/>
    <w:rsid w:val="00907FB2"/>
    <w:rsid w:val="00910F74"/>
    <w:rsid w:val="0091113A"/>
    <w:rsid w:val="00912725"/>
    <w:rsid w:val="00913556"/>
    <w:rsid w:val="00913A90"/>
    <w:rsid w:val="00913DF3"/>
    <w:rsid w:val="00915708"/>
    <w:rsid w:val="00916B39"/>
    <w:rsid w:val="00916CF2"/>
    <w:rsid w:val="009179A7"/>
    <w:rsid w:val="00920157"/>
    <w:rsid w:val="00922522"/>
    <w:rsid w:val="009238C1"/>
    <w:rsid w:val="00924258"/>
    <w:rsid w:val="00924471"/>
    <w:rsid w:val="00925F71"/>
    <w:rsid w:val="009265CA"/>
    <w:rsid w:val="00926713"/>
    <w:rsid w:val="00926A9C"/>
    <w:rsid w:val="00926C36"/>
    <w:rsid w:val="0092776A"/>
    <w:rsid w:val="00931BE3"/>
    <w:rsid w:val="00931E82"/>
    <w:rsid w:val="00932940"/>
    <w:rsid w:val="00932F6B"/>
    <w:rsid w:val="009331AA"/>
    <w:rsid w:val="009365C9"/>
    <w:rsid w:val="0093676A"/>
    <w:rsid w:val="00936C32"/>
    <w:rsid w:val="00936E9D"/>
    <w:rsid w:val="009370C5"/>
    <w:rsid w:val="009403EA"/>
    <w:rsid w:val="00940A86"/>
    <w:rsid w:val="0094172B"/>
    <w:rsid w:val="00942562"/>
    <w:rsid w:val="00942A69"/>
    <w:rsid w:val="00942C66"/>
    <w:rsid w:val="0094316E"/>
    <w:rsid w:val="00943400"/>
    <w:rsid w:val="009437FF"/>
    <w:rsid w:val="00943879"/>
    <w:rsid w:val="00944A0C"/>
    <w:rsid w:val="0094578E"/>
    <w:rsid w:val="00946288"/>
    <w:rsid w:val="00947C58"/>
    <w:rsid w:val="00950222"/>
    <w:rsid w:val="00950450"/>
    <w:rsid w:val="00951971"/>
    <w:rsid w:val="00952AFA"/>
    <w:rsid w:val="00953AE2"/>
    <w:rsid w:val="00953D01"/>
    <w:rsid w:val="00954DB8"/>
    <w:rsid w:val="00955862"/>
    <w:rsid w:val="0096002D"/>
    <w:rsid w:val="00960068"/>
    <w:rsid w:val="0096073D"/>
    <w:rsid w:val="00961E19"/>
    <w:rsid w:val="009622D7"/>
    <w:rsid w:val="0096360C"/>
    <w:rsid w:val="00964D5D"/>
    <w:rsid w:val="009653DB"/>
    <w:rsid w:val="009657BF"/>
    <w:rsid w:val="00966664"/>
    <w:rsid w:val="00967051"/>
    <w:rsid w:val="0096751B"/>
    <w:rsid w:val="009705A8"/>
    <w:rsid w:val="0097087F"/>
    <w:rsid w:val="00970976"/>
    <w:rsid w:val="00970D22"/>
    <w:rsid w:val="00971F9C"/>
    <w:rsid w:val="00972434"/>
    <w:rsid w:val="0097243E"/>
    <w:rsid w:val="0097256A"/>
    <w:rsid w:val="00972D25"/>
    <w:rsid w:val="00972D9A"/>
    <w:rsid w:val="00972F84"/>
    <w:rsid w:val="00974890"/>
    <w:rsid w:val="00974C7B"/>
    <w:rsid w:val="009759BD"/>
    <w:rsid w:val="00976549"/>
    <w:rsid w:val="00976F4D"/>
    <w:rsid w:val="00977159"/>
    <w:rsid w:val="009777E7"/>
    <w:rsid w:val="009803C5"/>
    <w:rsid w:val="009819B3"/>
    <w:rsid w:val="00982EC1"/>
    <w:rsid w:val="009848BB"/>
    <w:rsid w:val="00984901"/>
    <w:rsid w:val="00986B9E"/>
    <w:rsid w:val="00986E33"/>
    <w:rsid w:val="00987A45"/>
    <w:rsid w:val="0099093C"/>
    <w:rsid w:val="00990B96"/>
    <w:rsid w:val="00991738"/>
    <w:rsid w:val="0099261E"/>
    <w:rsid w:val="00992855"/>
    <w:rsid w:val="00993038"/>
    <w:rsid w:val="009931D3"/>
    <w:rsid w:val="00993640"/>
    <w:rsid w:val="00993F70"/>
    <w:rsid w:val="00994093"/>
    <w:rsid w:val="00994C0B"/>
    <w:rsid w:val="00995506"/>
    <w:rsid w:val="00995996"/>
    <w:rsid w:val="00996253"/>
    <w:rsid w:val="009A1274"/>
    <w:rsid w:val="009A1BCF"/>
    <w:rsid w:val="009A1E42"/>
    <w:rsid w:val="009A25B0"/>
    <w:rsid w:val="009A25E8"/>
    <w:rsid w:val="009A290C"/>
    <w:rsid w:val="009A2FA8"/>
    <w:rsid w:val="009A34B1"/>
    <w:rsid w:val="009A4CB3"/>
    <w:rsid w:val="009A5262"/>
    <w:rsid w:val="009A5F14"/>
    <w:rsid w:val="009A677B"/>
    <w:rsid w:val="009A6CC0"/>
    <w:rsid w:val="009B08DC"/>
    <w:rsid w:val="009B0F5E"/>
    <w:rsid w:val="009B3992"/>
    <w:rsid w:val="009B3C9D"/>
    <w:rsid w:val="009B4DB3"/>
    <w:rsid w:val="009B50F8"/>
    <w:rsid w:val="009B7903"/>
    <w:rsid w:val="009C030D"/>
    <w:rsid w:val="009C0781"/>
    <w:rsid w:val="009C0DA5"/>
    <w:rsid w:val="009C171A"/>
    <w:rsid w:val="009C3FB1"/>
    <w:rsid w:val="009C4192"/>
    <w:rsid w:val="009C4CE9"/>
    <w:rsid w:val="009C6B8C"/>
    <w:rsid w:val="009D0ADF"/>
    <w:rsid w:val="009D13AE"/>
    <w:rsid w:val="009D30BB"/>
    <w:rsid w:val="009D36E2"/>
    <w:rsid w:val="009D4054"/>
    <w:rsid w:val="009D41C8"/>
    <w:rsid w:val="009D445E"/>
    <w:rsid w:val="009D4514"/>
    <w:rsid w:val="009D4880"/>
    <w:rsid w:val="009D4FF3"/>
    <w:rsid w:val="009D6942"/>
    <w:rsid w:val="009D790F"/>
    <w:rsid w:val="009E0175"/>
    <w:rsid w:val="009E0188"/>
    <w:rsid w:val="009E0A19"/>
    <w:rsid w:val="009E23F2"/>
    <w:rsid w:val="009E51CD"/>
    <w:rsid w:val="009E5FBE"/>
    <w:rsid w:val="009E6C6A"/>
    <w:rsid w:val="009F03EB"/>
    <w:rsid w:val="009F11AB"/>
    <w:rsid w:val="009F27DB"/>
    <w:rsid w:val="009F42E2"/>
    <w:rsid w:val="009F4B43"/>
    <w:rsid w:val="009F4FB8"/>
    <w:rsid w:val="009F66FF"/>
    <w:rsid w:val="009F768D"/>
    <w:rsid w:val="00A00074"/>
    <w:rsid w:val="00A0019E"/>
    <w:rsid w:val="00A0162C"/>
    <w:rsid w:val="00A018D5"/>
    <w:rsid w:val="00A02673"/>
    <w:rsid w:val="00A02762"/>
    <w:rsid w:val="00A0336C"/>
    <w:rsid w:val="00A03787"/>
    <w:rsid w:val="00A03D1F"/>
    <w:rsid w:val="00A05CD7"/>
    <w:rsid w:val="00A07CEF"/>
    <w:rsid w:val="00A109CF"/>
    <w:rsid w:val="00A1166B"/>
    <w:rsid w:val="00A118A7"/>
    <w:rsid w:val="00A1243E"/>
    <w:rsid w:val="00A128B3"/>
    <w:rsid w:val="00A1300D"/>
    <w:rsid w:val="00A13BA0"/>
    <w:rsid w:val="00A1504A"/>
    <w:rsid w:val="00A16A09"/>
    <w:rsid w:val="00A16DC6"/>
    <w:rsid w:val="00A17917"/>
    <w:rsid w:val="00A17E37"/>
    <w:rsid w:val="00A223B8"/>
    <w:rsid w:val="00A2633D"/>
    <w:rsid w:val="00A304CF"/>
    <w:rsid w:val="00A32ED1"/>
    <w:rsid w:val="00A3467C"/>
    <w:rsid w:val="00A34D4C"/>
    <w:rsid w:val="00A36135"/>
    <w:rsid w:val="00A36E82"/>
    <w:rsid w:val="00A370E1"/>
    <w:rsid w:val="00A3713C"/>
    <w:rsid w:val="00A37731"/>
    <w:rsid w:val="00A414EE"/>
    <w:rsid w:val="00A41C87"/>
    <w:rsid w:val="00A428B8"/>
    <w:rsid w:val="00A42FD8"/>
    <w:rsid w:val="00A43449"/>
    <w:rsid w:val="00A438C3"/>
    <w:rsid w:val="00A44D9B"/>
    <w:rsid w:val="00A460A8"/>
    <w:rsid w:val="00A475F4"/>
    <w:rsid w:val="00A5134F"/>
    <w:rsid w:val="00A513C4"/>
    <w:rsid w:val="00A52531"/>
    <w:rsid w:val="00A531A6"/>
    <w:rsid w:val="00A55756"/>
    <w:rsid w:val="00A55932"/>
    <w:rsid w:val="00A5672A"/>
    <w:rsid w:val="00A56732"/>
    <w:rsid w:val="00A56FE0"/>
    <w:rsid w:val="00A57695"/>
    <w:rsid w:val="00A60637"/>
    <w:rsid w:val="00A6073E"/>
    <w:rsid w:val="00A6134C"/>
    <w:rsid w:val="00A628A6"/>
    <w:rsid w:val="00A636AC"/>
    <w:rsid w:val="00A638BD"/>
    <w:rsid w:val="00A63FE6"/>
    <w:rsid w:val="00A64B49"/>
    <w:rsid w:val="00A64E33"/>
    <w:rsid w:val="00A66D23"/>
    <w:rsid w:val="00A70D66"/>
    <w:rsid w:val="00A71AA8"/>
    <w:rsid w:val="00A74D40"/>
    <w:rsid w:val="00A75083"/>
    <w:rsid w:val="00A77922"/>
    <w:rsid w:val="00A80A60"/>
    <w:rsid w:val="00A8140C"/>
    <w:rsid w:val="00A81BE1"/>
    <w:rsid w:val="00A83309"/>
    <w:rsid w:val="00A8392A"/>
    <w:rsid w:val="00A83D58"/>
    <w:rsid w:val="00A841BF"/>
    <w:rsid w:val="00A849F8"/>
    <w:rsid w:val="00A84A30"/>
    <w:rsid w:val="00A84BE6"/>
    <w:rsid w:val="00A85AEF"/>
    <w:rsid w:val="00A87535"/>
    <w:rsid w:val="00A8781D"/>
    <w:rsid w:val="00A87B08"/>
    <w:rsid w:val="00A87F0B"/>
    <w:rsid w:val="00A90883"/>
    <w:rsid w:val="00A90AC8"/>
    <w:rsid w:val="00A92A22"/>
    <w:rsid w:val="00A945B4"/>
    <w:rsid w:val="00A95E5F"/>
    <w:rsid w:val="00A95F5E"/>
    <w:rsid w:val="00A96F80"/>
    <w:rsid w:val="00AA025D"/>
    <w:rsid w:val="00AA0839"/>
    <w:rsid w:val="00AA1EB2"/>
    <w:rsid w:val="00AA272B"/>
    <w:rsid w:val="00AA6FB8"/>
    <w:rsid w:val="00AA7C7A"/>
    <w:rsid w:val="00AA7DB2"/>
    <w:rsid w:val="00AB05C0"/>
    <w:rsid w:val="00AB1333"/>
    <w:rsid w:val="00AB19E2"/>
    <w:rsid w:val="00AB2903"/>
    <w:rsid w:val="00AB2C17"/>
    <w:rsid w:val="00AB2CE5"/>
    <w:rsid w:val="00AB3CAC"/>
    <w:rsid w:val="00AB3D62"/>
    <w:rsid w:val="00AB4946"/>
    <w:rsid w:val="00AB4C33"/>
    <w:rsid w:val="00AB522B"/>
    <w:rsid w:val="00AB6C1F"/>
    <w:rsid w:val="00AB7226"/>
    <w:rsid w:val="00AB7747"/>
    <w:rsid w:val="00AC2C41"/>
    <w:rsid w:val="00AC3270"/>
    <w:rsid w:val="00AC3723"/>
    <w:rsid w:val="00AC50C2"/>
    <w:rsid w:val="00AC5F14"/>
    <w:rsid w:val="00AC783D"/>
    <w:rsid w:val="00AD09DF"/>
    <w:rsid w:val="00AD2AE7"/>
    <w:rsid w:val="00AD58CB"/>
    <w:rsid w:val="00AD7116"/>
    <w:rsid w:val="00AD7E19"/>
    <w:rsid w:val="00AE078D"/>
    <w:rsid w:val="00AE124D"/>
    <w:rsid w:val="00AE1701"/>
    <w:rsid w:val="00AE6077"/>
    <w:rsid w:val="00AE63A3"/>
    <w:rsid w:val="00AE6AE1"/>
    <w:rsid w:val="00AE73B3"/>
    <w:rsid w:val="00AE7C36"/>
    <w:rsid w:val="00AF15E1"/>
    <w:rsid w:val="00AF1B78"/>
    <w:rsid w:val="00AF2573"/>
    <w:rsid w:val="00AF3479"/>
    <w:rsid w:val="00AF4803"/>
    <w:rsid w:val="00AF49DD"/>
    <w:rsid w:val="00AF5847"/>
    <w:rsid w:val="00AF598F"/>
    <w:rsid w:val="00AF5F78"/>
    <w:rsid w:val="00AF71AA"/>
    <w:rsid w:val="00AF7294"/>
    <w:rsid w:val="00AF77DA"/>
    <w:rsid w:val="00B00521"/>
    <w:rsid w:val="00B0163C"/>
    <w:rsid w:val="00B01675"/>
    <w:rsid w:val="00B016B3"/>
    <w:rsid w:val="00B018CE"/>
    <w:rsid w:val="00B0192E"/>
    <w:rsid w:val="00B01C91"/>
    <w:rsid w:val="00B01E82"/>
    <w:rsid w:val="00B03B91"/>
    <w:rsid w:val="00B05C2A"/>
    <w:rsid w:val="00B060AE"/>
    <w:rsid w:val="00B060D8"/>
    <w:rsid w:val="00B067E7"/>
    <w:rsid w:val="00B06FC9"/>
    <w:rsid w:val="00B10AF6"/>
    <w:rsid w:val="00B10EEE"/>
    <w:rsid w:val="00B129CD"/>
    <w:rsid w:val="00B162F1"/>
    <w:rsid w:val="00B174EA"/>
    <w:rsid w:val="00B17718"/>
    <w:rsid w:val="00B17BBF"/>
    <w:rsid w:val="00B17BD6"/>
    <w:rsid w:val="00B20397"/>
    <w:rsid w:val="00B20D87"/>
    <w:rsid w:val="00B213D5"/>
    <w:rsid w:val="00B21578"/>
    <w:rsid w:val="00B25F1C"/>
    <w:rsid w:val="00B261C9"/>
    <w:rsid w:val="00B269A8"/>
    <w:rsid w:val="00B269BE"/>
    <w:rsid w:val="00B26BCB"/>
    <w:rsid w:val="00B27110"/>
    <w:rsid w:val="00B27C8C"/>
    <w:rsid w:val="00B3056E"/>
    <w:rsid w:val="00B30DB1"/>
    <w:rsid w:val="00B32713"/>
    <w:rsid w:val="00B32EB0"/>
    <w:rsid w:val="00B33F7D"/>
    <w:rsid w:val="00B34428"/>
    <w:rsid w:val="00B3468D"/>
    <w:rsid w:val="00B34966"/>
    <w:rsid w:val="00B34F23"/>
    <w:rsid w:val="00B35CF3"/>
    <w:rsid w:val="00B3674B"/>
    <w:rsid w:val="00B37B7A"/>
    <w:rsid w:val="00B40104"/>
    <w:rsid w:val="00B40259"/>
    <w:rsid w:val="00B4145A"/>
    <w:rsid w:val="00B419E8"/>
    <w:rsid w:val="00B41E05"/>
    <w:rsid w:val="00B4217B"/>
    <w:rsid w:val="00B42589"/>
    <w:rsid w:val="00B42595"/>
    <w:rsid w:val="00B42C69"/>
    <w:rsid w:val="00B43BF0"/>
    <w:rsid w:val="00B4463B"/>
    <w:rsid w:val="00B4471B"/>
    <w:rsid w:val="00B44A8F"/>
    <w:rsid w:val="00B44F48"/>
    <w:rsid w:val="00B50B8B"/>
    <w:rsid w:val="00B51400"/>
    <w:rsid w:val="00B52AE1"/>
    <w:rsid w:val="00B52C46"/>
    <w:rsid w:val="00B52FFD"/>
    <w:rsid w:val="00B544BA"/>
    <w:rsid w:val="00B5553F"/>
    <w:rsid w:val="00B56780"/>
    <w:rsid w:val="00B6006A"/>
    <w:rsid w:val="00B6301E"/>
    <w:rsid w:val="00B63068"/>
    <w:rsid w:val="00B63BD8"/>
    <w:rsid w:val="00B63D73"/>
    <w:rsid w:val="00B64DFE"/>
    <w:rsid w:val="00B65C23"/>
    <w:rsid w:val="00B66832"/>
    <w:rsid w:val="00B66E97"/>
    <w:rsid w:val="00B66F1F"/>
    <w:rsid w:val="00B67CBD"/>
    <w:rsid w:val="00B701E3"/>
    <w:rsid w:val="00B70CE6"/>
    <w:rsid w:val="00B711D8"/>
    <w:rsid w:val="00B71530"/>
    <w:rsid w:val="00B71AC5"/>
    <w:rsid w:val="00B72201"/>
    <w:rsid w:val="00B7319D"/>
    <w:rsid w:val="00B7388A"/>
    <w:rsid w:val="00B74486"/>
    <w:rsid w:val="00B74ABC"/>
    <w:rsid w:val="00B75C11"/>
    <w:rsid w:val="00B763EA"/>
    <w:rsid w:val="00B7662A"/>
    <w:rsid w:val="00B80CD8"/>
    <w:rsid w:val="00B81779"/>
    <w:rsid w:val="00B826DD"/>
    <w:rsid w:val="00B82901"/>
    <w:rsid w:val="00B8294B"/>
    <w:rsid w:val="00B83FC7"/>
    <w:rsid w:val="00B845D3"/>
    <w:rsid w:val="00B856F2"/>
    <w:rsid w:val="00B86162"/>
    <w:rsid w:val="00B863EF"/>
    <w:rsid w:val="00B923F5"/>
    <w:rsid w:val="00B92589"/>
    <w:rsid w:val="00B925A0"/>
    <w:rsid w:val="00B9262B"/>
    <w:rsid w:val="00B9297D"/>
    <w:rsid w:val="00B943F6"/>
    <w:rsid w:val="00B9459B"/>
    <w:rsid w:val="00B958A0"/>
    <w:rsid w:val="00B96B25"/>
    <w:rsid w:val="00B977E9"/>
    <w:rsid w:val="00BA2376"/>
    <w:rsid w:val="00BA32E0"/>
    <w:rsid w:val="00BA3388"/>
    <w:rsid w:val="00BA45A7"/>
    <w:rsid w:val="00BA4AEC"/>
    <w:rsid w:val="00BA51A0"/>
    <w:rsid w:val="00BA5291"/>
    <w:rsid w:val="00BA532A"/>
    <w:rsid w:val="00BA5492"/>
    <w:rsid w:val="00BA69FB"/>
    <w:rsid w:val="00BA7101"/>
    <w:rsid w:val="00BA777F"/>
    <w:rsid w:val="00BA7FD6"/>
    <w:rsid w:val="00BB0B8F"/>
    <w:rsid w:val="00BB0E5B"/>
    <w:rsid w:val="00BB15DA"/>
    <w:rsid w:val="00BB243F"/>
    <w:rsid w:val="00BB2DA1"/>
    <w:rsid w:val="00BB2F33"/>
    <w:rsid w:val="00BB3A34"/>
    <w:rsid w:val="00BB3E0D"/>
    <w:rsid w:val="00BB4188"/>
    <w:rsid w:val="00BB449D"/>
    <w:rsid w:val="00BB4848"/>
    <w:rsid w:val="00BB4A7C"/>
    <w:rsid w:val="00BB5B7C"/>
    <w:rsid w:val="00BB62FC"/>
    <w:rsid w:val="00BB775B"/>
    <w:rsid w:val="00BB7FA1"/>
    <w:rsid w:val="00BC04D9"/>
    <w:rsid w:val="00BC067E"/>
    <w:rsid w:val="00BC08EA"/>
    <w:rsid w:val="00BC4EFF"/>
    <w:rsid w:val="00BC5C5B"/>
    <w:rsid w:val="00BC7802"/>
    <w:rsid w:val="00BD2496"/>
    <w:rsid w:val="00BD364E"/>
    <w:rsid w:val="00BD4859"/>
    <w:rsid w:val="00BD4AB2"/>
    <w:rsid w:val="00BD57D6"/>
    <w:rsid w:val="00BD61D2"/>
    <w:rsid w:val="00BD6D30"/>
    <w:rsid w:val="00BD77F1"/>
    <w:rsid w:val="00BE086B"/>
    <w:rsid w:val="00BE0A15"/>
    <w:rsid w:val="00BE2722"/>
    <w:rsid w:val="00BE2A65"/>
    <w:rsid w:val="00BE2CE3"/>
    <w:rsid w:val="00BE4C63"/>
    <w:rsid w:val="00BE4E40"/>
    <w:rsid w:val="00BE5AE8"/>
    <w:rsid w:val="00BE5E4D"/>
    <w:rsid w:val="00BE68D0"/>
    <w:rsid w:val="00BE7AEF"/>
    <w:rsid w:val="00BF12B0"/>
    <w:rsid w:val="00BF17F5"/>
    <w:rsid w:val="00BF24EE"/>
    <w:rsid w:val="00BF50B5"/>
    <w:rsid w:val="00BF6BA2"/>
    <w:rsid w:val="00BF6EAF"/>
    <w:rsid w:val="00BF7DB0"/>
    <w:rsid w:val="00C00456"/>
    <w:rsid w:val="00C01193"/>
    <w:rsid w:val="00C02639"/>
    <w:rsid w:val="00C02C9E"/>
    <w:rsid w:val="00C0464A"/>
    <w:rsid w:val="00C04A33"/>
    <w:rsid w:val="00C0523F"/>
    <w:rsid w:val="00C05AD3"/>
    <w:rsid w:val="00C05C15"/>
    <w:rsid w:val="00C06630"/>
    <w:rsid w:val="00C06700"/>
    <w:rsid w:val="00C0766E"/>
    <w:rsid w:val="00C07B7D"/>
    <w:rsid w:val="00C07EA6"/>
    <w:rsid w:val="00C1065A"/>
    <w:rsid w:val="00C11159"/>
    <w:rsid w:val="00C11516"/>
    <w:rsid w:val="00C11FC6"/>
    <w:rsid w:val="00C1287A"/>
    <w:rsid w:val="00C13090"/>
    <w:rsid w:val="00C13374"/>
    <w:rsid w:val="00C13F73"/>
    <w:rsid w:val="00C14A07"/>
    <w:rsid w:val="00C14C88"/>
    <w:rsid w:val="00C14CAD"/>
    <w:rsid w:val="00C15CFC"/>
    <w:rsid w:val="00C16C84"/>
    <w:rsid w:val="00C20115"/>
    <w:rsid w:val="00C2210F"/>
    <w:rsid w:val="00C22289"/>
    <w:rsid w:val="00C24535"/>
    <w:rsid w:val="00C24E9F"/>
    <w:rsid w:val="00C251BC"/>
    <w:rsid w:val="00C258B2"/>
    <w:rsid w:val="00C27483"/>
    <w:rsid w:val="00C2794A"/>
    <w:rsid w:val="00C27D14"/>
    <w:rsid w:val="00C27D70"/>
    <w:rsid w:val="00C3093D"/>
    <w:rsid w:val="00C3128B"/>
    <w:rsid w:val="00C317E8"/>
    <w:rsid w:val="00C32797"/>
    <w:rsid w:val="00C32893"/>
    <w:rsid w:val="00C32F09"/>
    <w:rsid w:val="00C33E89"/>
    <w:rsid w:val="00C34AD5"/>
    <w:rsid w:val="00C34AED"/>
    <w:rsid w:val="00C3591E"/>
    <w:rsid w:val="00C35A65"/>
    <w:rsid w:val="00C3628C"/>
    <w:rsid w:val="00C363F1"/>
    <w:rsid w:val="00C36623"/>
    <w:rsid w:val="00C36729"/>
    <w:rsid w:val="00C36794"/>
    <w:rsid w:val="00C404FA"/>
    <w:rsid w:val="00C40D42"/>
    <w:rsid w:val="00C41AD6"/>
    <w:rsid w:val="00C4267F"/>
    <w:rsid w:val="00C4383D"/>
    <w:rsid w:val="00C438B7"/>
    <w:rsid w:val="00C4715E"/>
    <w:rsid w:val="00C478BA"/>
    <w:rsid w:val="00C50D2D"/>
    <w:rsid w:val="00C51226"/>
    <w:rsid w:val="00C5195B"/>
    <w:rsid w:val="00C52B35"/>
    <w:rsid w:val="00C5367E"/>
    <w:rsid w:val="00C53D52"/>
    <w:rsid w:val="00C540D8"/>
    <w:rsid w:val="00C54252"/>
    <w:rsid w:val="00C54E17"/>
    <w:rsid w:val="00C5522E"/>
    <w:rsid w:val="00C5633C"/>
    <w:rsid w:val="00C56C32"/>
    <w:rsid w:val="00C57B67"/>
    <w:rsid w:val="00C6065B"/>
    <w:rsid w:val="00C60974"/>
    <w:rsid w:val="00C60984"/>
    <w:rsid w:val="00C60C3B"/>
    <w:rsid w:val="00C612BB"/>
    <w:rsid w:val="00C62970"/>
    <w:rsid w:val="00C62CE6"/>
    <w:rsid w:val="00C6594D"/>
    <w:rsid w:val="00C6661E"/>
    <w:rsid w:val="00C67377"/>
    <w:rsid w:val="00C6751E"/>
    <w:rsid w:val="00C70C27"/>
    <w:rsid w:val="00C70FEB"/>
    <w:rsid w:val="00C7102F"/>
    <w:rsid w:val="00C7145E"/>
    <w:rsid w:val="00C71727"/>
    <w:rsid w:val="00C739CA"/>
    <w:rsid w:val="00C7440A"/>
    <w:rsid w:val="00C74C1E"/>
    <w:rsid w:val="00C74D6D"/>
    <w:rsid w:val="00C75B37"/>
    <w:rsid w:val="00C77769"/>
    <w:rsid w:val="00C777F3"/>
    <w:rsid w:val="00C77A29"/>
    <w:rsid w:val="00C77B99"/>
    <w:rsid w:val="00C8040A"/>
    <w:rsid w:val="00C80F0A"/>
    <w:rsid w:val="00C81309"/>
    <w:rsid w:val="00C81E32"/>
    <w:rsid w:val="00C82486"/>
    <w:rsid w:val="00C826EF"/>
    <w:rsid w:val="00C833EA"/>
    <w:rsid w:val="00C849D6"/>
    <w:rsid w:val="00C85DB2"/>
    <w:rsid w:val="00C86330"/>
    <w:rsid w:val="00C86823"/>
    <w:rsid w:val="00C86F54"/>
    <w:rsid w:val="00C86F8D"/>
    <w:rsid w:val="00C87444"/>
    <w:rsid w:val="00C875E0"/>
    <w:rsid w:val="00C90DF2"/>
    <w:rsid w:val="00C9157E"/>
    <w:rsid w:val="00C91A62"/>
    <w:rsid w:val="00C91C68"/>
    <w:rsid w:val="00C93035"/>
    <w:rsid w:val="00C936FB"/>
    <w:rsid w:val="00C96B6D"/>
    <w:rsid w:val="00C97D22"/>
    <w:rsid w:val="00CA105C"/>
    <w:rsid w:val="00CA1130"/>
    <w:rsid w:val="00CA1184"/>
    <w:rsid w:val="00CA195C"/>
    <w:rsid w:val="00CA2706"/>
    <w:rsid w:val="00CA3B59"/>
    <w:rsid w:val="00CA43A4"/>
    <w:rsid w:val="00CA48F9"/>
    <w:rsid w:val="00CA60CA"/>
    <w:rsid w:val="00CA61F3"/>
    <w:rsid w:val="00CA7E2D"/>
    <w:rsid w:val="00CB2588"/>
    <w:rsid w:val="00CB2D2B"/>
    <w:rsid w:val="00CB3BB9"/>
    <w:rsid w:val="00CB4396"/>
    <w:rsid w:val="00CB4A56"/>
    <w:rsid w:val="00CB4B9F"/>
    <w:rsid w:val="00CB4ED7"/>
    <w:rsid w:val="00CB5807"/>
    <w:rsid w:val="00CB5AAF"/>
    <w:rsid w:val="00CB649F"/>
    <w:rsid w:val="00CC0094"/>
    <w:rsid w:val="00CC2093"/>
    <w:rsid w:val="00CC2A41"/>
    <w:rsid w:val="00CC2C8C"/>
    <w:rsid w:val="00CC48D8"/>
    <w:rsid w:val="00CC58C4"/>
    <w:rsid w:val="00CC5934"/>
    <w:rsid w:val="00CC5EC5"/>
    <w:rsid w:val="00CC601D"/>
    <w:rsid w:val="00CC6BC1"/>
    <w:rsid w:val="00CD0D82"/>
    <w:rsid w:val="00CD149E"/>
    <w:rsid w:val="00CD16D7"/>
    <w:rsid w:val="00CD22A1"/>
    <w:rsid w:val="00CD2796"/>
    <w:rsid w:val="00CD3119"/>
    <w:rsid w:val="00CD36FD"/>
    <w:rsid w:val="00CD4772"/>
    <w:rsid w:val="00CD7907"/>
    <w:rsid w:val="00CE0769"/>
    <w:rsid w:val="00CE1895"/>
    <w:rsid w:val="00CE27A2"/>
    <w:rsid w:val="00CE37F2"/>
    <w:rsid w:val="00CE6390"/>
    <w:rsid w:val="00CE699F"/>
    <w:rsid w:val="00CE6D69"/>
    <w:rsid w:val="00CF0561"/>
    <w:rsid w:val="00CF0804"/>
    <w:rsid w:val="00CF10AB"/>
    <w:rsid w:val="00CF270E"/>
    <w:rsid w:val="00CF4002"/>
    <w:rsid w:val="00CF550A"/>
    <w:rsid w:val="00D007C4"/>
    <w:rsid w:val="00D01038"/>
    <w:rsid w:val="00D0125F"/>
    <w:rsid w:val="00D01F85"/>
    <w:rsid w:val="00D021A2"/>
    <w:rsid w:val="00D02DA1"/>
    <w:rsid w:val="00D02E38"/>
    <w:rsid w:val="00D03116"/>
    <w:rsid w:val="00D032AC"/>
    <w:rsid w:val="00D034A1"/>
    <w:rsid w:val="00D0449E"/>
    <w:rsid w:val="00D050EF"/>
    <w:rsid w:val="00D06927"/>
    <w:rsid w:val="00D06A9C"/>
    <w:rsid w:val="00D07C1E"/>
    <w:rsid w:val="00D07CA1"/>
    <w:rsid w:val="00D10E31"/>
    <w:rsid w:val="00D115F0"/>
    <w:rsid w:val="00D122B9"/>
    <w:rsid w:val="00D12467"/>
    <w:rsid w:val="00D12A3D"/>
    <w:rsid w:val="00D130B8"/>
    <w:rsid w:val="00D132FD"/>
    <w:rsid w:val="00D13F59"/>
    <w:rsid w:val="00D14777"/>
    <w:rsid w:val="00D15253"/>
    <w:rsid w:val="00D156C4"/>
    <w:rsid w:val="00D15A1D"/>
    <w:rsid w:val="00D17018"/>
    <w:rsid w:val="00D1735A"/>
    <w:rsid w:val="00D2056A"/>
    <w:rsid w:val="00D225FA"/>
    <w:rsid w:val="00D22D8D"/>
    <w:rsid w:val="00D22D99"/>
    <w:rsid w:val="00D256DB"/>
    <w:rsid w:val="00D27904"/>
    <w:rsid w:val="00D3154A"/>
    <w:rsid w:val="00D317D9"/>
    <w:rsid w:val="00D32ADC"/>
    <w:rsid w:val="00D32C92"/>
    <w:rsid w:val="00D32D38"/>
    <w:rsid w:val="00D33CE4"/>
    <w:rsid w:val="00D3733B"/>
    <w:rsid w:val="00D3770B"/>
    <w:rsid w:val="00D37DB8"/>
    <w:rsid w:val="00D40E4C"/>
    <w:rsid w:val="00D417FB"/>
    <w:rsid w:val="00D43880"/>
    <w:rsid w:val="00D44630"/>
    <w:rsid w:val="00D44D41"/>
    <w:rsid w:val="00D44EFA"/>
    <w:rsid w:val="00D46240"/>
    <w:rsid w:val="00D46864"/>
    <w:rsid w:val="00D47E30"/>
    <w:rsid w:val="00D502DA"/>
    <w:rsid w:val="00D50887"/>
    <w:rsid w:val="00D50D7D"/>
    <w:rsid w:val="00D50E8C"/>
    <w:rsid w:val="00D511D8"/>
    <w:rsid w:val="00D52A22"/>
    <w:rsid w:val="00D53284"/>
    <w:rsid w:val="00D53748"/>
    <w:rsid w:val="00D53F9C"/>
    <w:rsid w:val="00D541B2"/>
    <w:rsid w:val="00D548D3"/>
    <w:rsid w:val="00D55591"/>
    <w:rsid w:val="00D559A4"/>
    <w:rsid w:val="00D55AEE"/>
    <w:rsid w:val="00D55B49"/>
    <w:rsid w:val="00D5672E"/>
    <w:rsid w:val="00D575FA"/>
    <w:rsid w:val="00D57E0E"/>
    <w:rsid w:val="00D60AE1"/>
    <w:rsid w:val="00D61A2C"/>
    <w:rsid w:val="00D62548"/>
    <w:rsid w:val="00D62679"/>
    <w:rsid w:val="00D62F44"/>
    <w:rsid w:val="00D637F9"/>
    <w:rsid w:val="00D647C3"/>
    <w:rsid w:val="00D64810"/>
    <w:rsid w:val="00D6539A"/>
    <w:rsid w:val="00D656E6"/>
    <w:rsid w:val="00D66618"/>
    <w:rsid w:val="00D67C30"/>
    <w:rsid w:val="00D72042"/>
    <w:rsid w:val="00D752BC"/>
    <w:rsid w:val="00D75B7A"/>
    <w:rsid w:val="00D76515"/>
    <w:rsid w:val="00D76C4B"/>
    <w:rsid w:val="00D828CD"/>
    <w:rsid w:val="00D82A2B"/>
    <w:rsid w:val="00D83A9D"/>
    <w:rsid w:val="00D83F48"/>
    <w:rsid w:val="00D84387"/>
    <w:rsid w:val="00D85B24"/>
    <w:rsid w:val="00D8677D"/>
    <w:rsid w:val="00D87CC0"/>
    <w:rsid w:val="00D9003E"/>
    <w:rsid w:val="00D9020B"/>
    <w:rsid w:val="00D91116"/>
    <w:rsid w:val="00D9121A"/>
    <w:rsid w:val="00D921D3"/>
    <w:rsid w:val="00D924B1"/>
    <w:rsid w:val="00D92FF6"/>
    <w:rsid w:val="00D93D25"/>
    <w:rsid w:val="00D95677"/>
    <w:rsid w:val="00D96337"/>
    <w:rsid w:val="00DA121C"/>
    <w:rsid w:val="00DA13F9"/>
    <w:rsid w:val="00DA15A9"/>
    <w:rsid w:val="00DA169C"/>
    <w:rsid w:val="00DA2C16"/>
    <w:rsid w:val="00DA422F"/>
    <w:rsid w:val="00DA46EB"/>
    <w:rsid w:val="00DA4EAA"/>
    <w:rsid w:val="00DA52EB"/>
    <w:rsid w:val="00DA55DB"/>
    <w:rsid w:val="00DA588F"/>
    <w:rsid w:val="00DA791E"/>
    <w:rsid w:val="00DA7FE4"/>
    <w:rsid w:val="00DB1E84"/>
    <w:rsid w:val="00DB2C34"/>
    <w:rsid w:val="00DB38E4"/>
    <w:rsid w:val="00DB3C0B"/>
    <w:rsid w:val="00DB3D02"/>
    <w:rsid w:val="00DB3F9A"/>
    <w:rsid w:val="00DB5D97"/>
    <w:rsid w:val="00DB69FA"/>
    <w:rsid w:val="00DB6C0D"/>
    <w:rsid w:val="00DB6FF8"/>
    <w:rsid w:val="00DC18FD"/>
    <w:rsid w:val="00DC1B40"/>
    <w:rsid w:val="00DC3651"/>
    <w:rsid w:val="00DC4497"/>
    <w:rsid w:val="00DC5D66"/>
    <w:rsid w:val="00DC70BC"/>
    <w:rsid w:val="00DD1393"/>
    <w:rsid w:val="00DD3150"/>
    <w:rsid w:val="00DD5450"/>
    <w:rsid w:val="00DD6479"/>
    <w:rsid w:val="00DD6C30"/>
    <w:rsid w:val="00DD6F23"/>
    <w:rsid w:val="00DD743C"/>
    <w:rsid w:val="00DE0BBA"/>
    <w:rsid w:val="00DE0C84"/>
    <w:rsid w:val="00DE0CAF"/>
    <w:rsid w:val="00DE1351"/>
    <w:rsid w:val="00DE1680"/>
    <w:rsid w:val="00DE1E1C"/>
    <w:rsid w:val="00DE2EB7"/>
    <w:rsid w:val="00DE3EBC"/>
    <w:rsid w:val="00DE4156"/>
    <w:rsid w:val="00DE45B8"/>
    <w:rsid w:val="00DE6C0F"/>
    <w:rsid w:val="00DE7D94"/>
    <w:rsid w:val="00DF577E"/>
    <w:rsid w:val="00DF5826"/>
    <w:rsid w:val="00DF6325"/>
    <w:rsid w:val="00DF700A"/>
    <w:rsid w:val="00DF7EEE"/>
    <w:rsid w:val="00E0086C"/>
    <w:rsid w:val="00E00D4C"/>
    <w:rsid w:val="00E00EE1"/>
    <w:rsid w:val="00E0138C"/>
    <w:rsid w:val="00E0246C"/>
    <w:rsid w:val="00E02666"/>
    <w:rsid w:val="00E037E3"/>
    <w:rsid w:val="00E0565B"/>
    <w:rsid w:val="00E05672"/>
    <w:rsid w:val="00E05A60"/>
    <w:rsid w:val="00E06ED4"/>
    <w:rsid w:val="00E07789"/>
    <w:rsid w:val="00E07A4F"/>
    <w:rsid w:val="00E07AD1"/>
    <w:rsid w:val="00E07BE8"/>
    <w:rsid w:val="00E07C98"/>
    <w:rsid w:val="00E10594"/>
    <w:rsid w:val="00E1197B"/>
    <w:rsid w:val="00E1444E"/>
    <w:rsid w:val="00E144AA"/>
    <w:rsid w:val="00E14E62"/>
    <w:rsid w:val="00E15945"/>
    <w:rsid w:val="00E16503"/>
    <w:rsid w:val="00E16A8E"/>
    <w:rsid w:val="00E16AA7"/>
    <w:rsid w:val="00E173C9"/>
    <w:rsid w:val="00E17E47"/>
    <w:rsid w:val="00E206EF"/>
    <w:rsid w:val="00E20FE0"/>
    <w:rsid w:val="00E219A7"/>
    <w:rsid w:val="00E21A01"/>
    <w:rsid w:val="00E21A1A"/>
    <w:rsid w:val="00E21C26"/>
    <w:rsid w:val="00E222F7"/>
    <w:rsid w:val="00E23BD5"/>
    <w:rsid w:val="00E240FC"/>
    <w:rsid w:val="00E241FC"/>
    <w:rsid w:val="00E248CB"/>
    <w:rsid w:val="00E2573D"/>
    <w:rsid w:val="00E26B3A"/>
    <w:rsid w:val="00E27644"/>
    <w:rsid w:val="00E2795E"/>
    <w:rsid w:val="00E30D7C"/>
    <w:rsid w:val="00E31082"/>
    <w:rsid w:val="00E31471"/>
    <w:rsid w:val="00E3221F"/>
    <w:rsid w:val="00E345F3"/>
    <w:rsid w:val="00E35396"/>
    <w:rsid w:val="00E35C93"/>
    <w:rsid w:val="00E368EA"/>
    <w:rsid w:val="00E36E42"/>
    <w:rsid w:val="00E36F4D"/>
    <w:rsid w:val="00E37434"/>
    <w:rsid w:val="00E37A8E"/>
    <w:rsid w:val="00E402F0"/>
    <w:rsid w:val="00E41146"/>
    <w:rsid w:val="00E42F27"/>
    <w:rsid w:val="00E43F30"/>
    <w:rsid w:val="00E441A8"/>
    <w:rsid w:val="00E44F96"/>
    <w:rsid w:val="00E46213"/>
    <w:rsid w:val="00E46AA4"/>
    <w:rsid w:val="00E47404"/>
    <w:rsid w:val="00E52BA8"/>
    <w:rsid w:val="00E53110"/>
    <w:rsid w:val="00E53C20"/>
    <w:rsid w:val="00E541C0"/>
    <w:rsid w:val="00E55463"/>
    <w:rsid w:val="00E55643"/>
    <w:rsid w:val="00E558D7"/>
    <w:rsid w:val="00E55EBD"/>
    <w:rsid w:val="00E56388"/>
    <w:rsid w:val="00E56531"/>
    <w:rsid w:val="00E57667"/>
    <w:rsid w:val="00E57C0B"/>
    <w:rsid w:val="00E603D8"/>
    <w:rsid w:val="00E60892"/>
    <w:rsid w:val="00E612B2"/>
    <w:rsid w:val="00E62884"/>
    <w:rsid w:val="00E635A3"/>
    <w:rsid w:val="00E64020"/>
    <w:rsid w:val="00E64D97"/>
    <w:rsid w:val="00E661EE"/>
    <w:rsid w:val="00E6754A"/>
    <w:rsid w:val="00E754A6"/>
    <w:rsid w:val="00E7595E"/>
    <w:rsid w:val="00E80382"/>
    <w:rsid w:val="00E80507"/>
    <w:rsid w:val="00E82047"/>
    <w:rsid w:val="00E83343"/>
    <w:rsid w:val="00E83B41"/>
    <w:rsid w:val="00E84093"/>
    <w:rsid w:val="00E841A6"/>
    <w:rsid w:val="00E861E6"/>
    <w:rsid w:val="00E87937"/>
    <w:rsid w:val="00E90947"/>
    <w:rsid w:val="00E90B35"/>
    <w:rsid w:val="00E913B9"/>
    <w:rsid w:val="00E916B1"/>
    <w:rsid w:val="00E9394E"/>
    <w:rsid w:val="00E93E37"/>
    <w:rsid w:val="00E94BFE"/>
    <w:rsid w:val="00E958E9"/>
    <w:rsid w:val="00E9603A"/>
    <w:rsid w:val="00E960AD"/>
    <w:rsid w:val="00E97FE1"/>
    <w:rsid w:val="00EA0F95"/>
    <w:rsid w:val="00EA23BB"/>
    <w:rsid w:val="00EA2498"/>
    <w:rsid w:val="00EA4D12"/>
    <w:rsid w:val="00EA5F17"/>
    <w:rsid w:val="00EA601B"/>
    <w:rsid w:val="00EB1523"/>
    <w:rsid w:val="00EB2883"/>
    <w:rsid w:val="00EB3362"/>
    <w:rsid w:val="00EB48AE"/>
    <w:rsid w:val="00EB494D"/>
    <w:rsid w:val="00EB5E37"/>
    <w:rsid w:val="00EB6332"/>
    <w:rsid w:val="00EB7A1E"/>
    <w:rsid w:val="00EC07E8"/>
    <w:rsid w:val="00EC12A7"/>
    <w:rsid w:val="00EC163C"/>
    <w:rsid w:val="00EC17CD"/>
    <w:rsid w:val="00EC2ADF"/>
    <w:rsid w:val="00EC3FD2"/>
    <w:rsid w:val="00EC45E4"/>
    <w:rsid w:val="00EC4A13"/>
    <w:rsid w:val="00EC5CF4"/>
    <w:rsid w:val="00EC5E21"/>
    <w:rsid w:val="00EC6ABB"/>
    <w:rsid w:val="00EC6E7A"/>
    <w:rsid w:val="00EC70AF"/>
    <w:rsid w:val="00EC7A83"/>
    <w:rsid w:val="00ED059C"/>
    <w:rsid w:val="00ED06C1"/>
    <w:rsid w:val="00ED3FBA"/>
    <w:rsid w:val="00ED4744"/>
    <w:rsid w:val="00ED479E"/>
    <w:rsid w:val="00ED53F1"/>
    <w:rsid w:val="00ED5FE3"/>
    <w:rsid w:val="00ED62F8"/>
    <w:rsid w:val="00ED702E"/>
    <w:rsid w:val="00ED72B0"/>
    <w:rsid w:val="00EE071C"/>
    <w:rsid w:val="00EE1A1F"/>
    <w:rsid w:val="00EE2450"/>
    <w:rsid w:val="00EE2690"/>
    <w:rsid w:val="00EE2CAC"/>
    <w:rsid w:val="00EE311A"/>
    <w:rsid w:val="00EE65C7"/>
    <w:rsid w:val="00EE6842"/>
    <w:rsid w:val="00EE7C48"/>
    <w:rsid w:val="00EF07E1"/>
    <w:rsid w:val="00EF0803"/>
    <w:rsid w:val="00EF162C"/>
    <w:rsid w:val="00EF1837"/>
    <w:rsid w:val="00EF302F"/>
    <w:rsid w:val="00EF3BBF"/>
    <w:rsid w:val="00EF3DB9"/>
    <w:rsid w:val="00EF4E77"/>
    <w:rsid w:val="00EF56B1"/>
    <w:rsid w:val="00EF6C44"/>
    <w:rsid w:val="00F01F60"/>
    <w:rsid w:val="00F024DD"/>
    <w:rsid w:val="00F03480"/>
    <w:rsid w:val="00F037AE"/>
    <w:rsid w:val="00F04A4C"/>
    <w:rsid w:val="00F04FB2"/>
    <w:rsid w:val="00F0559F"/>
    <w:rsid w:val="00F055D1"/>
    <w:rsid w:val="00F05842"/>
    <w:rsid w:val="00F07727"/>
    <w:rsid w:val="00F135F1"/>
    <w:rsid w:val="00F13931"/>
    <w:rsid w:val="00F144E1"/>
    <w:rsid w:val="00F1666E"/>
    <w:rsid w:val="00F20346"/>
    <w:rsid w:val="00F21896"/>
    <w:rsid w:val="00F21AED"/>
    <w:rsid w:val="00F2262A"/>
    <w:rsid w:val="00F22DD0"/>
    <w:rsid w:val="00F26D52"/>
    <w:rsid w:val="00F3010B"/>
    <w:rsid w:val="00F3094E"/>
    <w:rsid w:val="00F30A75"/>
    <w:rsid w:val="00F31151"/>
    <w:rsid w:val="00F3158E"/>
    <w:rsid w:val="00F34C67"/>
    <w:rsid w:val="00F3506C"/>
    <w:rsid w:val="00F35336"/>
    <w:rsid w:val="00F355E5"/>
    <w:rsid w:val="00F36C12"/>
    <w:rsid w:val="00F37C1C"/>
    <w:rsid w:val="00F40739"/>
    <w:rsid w:val="00F419A6"/>
    <w:rsid w:val="00F42093"/>
    <w:rsid w:val="00F4287D"/>
    <w:rsid w:val="00F439A7"/>
    <w:rsid w:val="00F4415E"/>
    <w:rsid w:val="00F4429F"/>
    <w:rsid w:val="00F44760"/>
    <w:rsid w:val="00F448C0"/>
    <w:rsid w:val="00F476B6"/>
    <w:rsid w:val="00F47FCD"/>
    <w:rsid w:val="00F507E4"/>
    <w:rsid w:val="00F50F84"/>
    <w:rsid w:val="00F519D0"/>
    <w:rsid w:val="00F524EF"/>
    <w:rsid w:val="00F53483"/>
    <w:rsid w:val="00F548E9"/>
    <w:rsid w:val="00F55949"/>
    <w:rsid w:val="00F55C86"/>
    <w:rsid w:val="00F567F1"/>
    <w:rsid w:val="00F56BD6"/>
    <w:rsid w:val="00F574B3"/>
    <w:rsid w:val="00F6246D"/>
    <w:rsid w:val="00F633B3"/>
    <w:rsid w:val="00F635D3"/>
    <w:rsid w:val="00F63D28"/>
    <w:rsid w:val="00F6442D"/>
    <w:rsid w:val="00F6613A"/>
    <w:rsid w:val="00F66297"/>
    <w:rsid w:val="00F66780"/>
    <w:rsid w:val="00F6703F"/>
    <w:rsid w:val="00F6745D"/>
    <w:rsid w:val="00F7005D"/>
    <w:rsid w:val="00F713A4"/>
    <w:rsid w:val="00F71A5C"/>
    <w:rsid w:val="00F71D85"/>
    <w:rsid w:val="00F72E98"/>
    <w:rsid w:val="00F7392D"/>
    <w:rsid w:val="00F73B5E"/>
    <w:rsid w:val="00F73C72"/>
    <w:rsid w:val="00F7410D"/>
    <w:rsid w:val="00F74205"/>
    <w:rsid w:val="00F75ACE"/>
    <w:rsid w:val="00F7638E"/>
    <w:rsid w:val="00F76658"/>
    <w:rsid w:val="00F76685"/>
    <w:rsid w:val="00F767B2"/>
    <w:rsid w:val="00F76A8F"/>
    <w:rsid w:val="00F76DE7"/>
    <w:rsid w:val="00F773A4"/>
    <w:rsid w:val="00F7768C"/>
    <w:rsid w:val="00F77C38"/>
    <w:rsid w:val="00F81662"/>
    <w:rsid w:val="00F81931"/>
    <w:rsid w:val="00F81B92"/>
    <w:rsid w:val="00F81FD4"/>
    <w:rsid w:val="00F83260"/>
    <w:rsid w:val="00F85093"/>
    <w:rsid w:val="00F86207"/>
    <w:rsid w:val="00F8687B"/>
    <w:rsid w:val="00F8744F"/>
    <w:rsid w:val="00F90646"/>
    <w:rsid w:val="00F907B1"/>
    <w:rsid w:val="00F90A64"/>
    <w:rsid w:val="00F9114B"/>
    <w:rsid w:val="00F924E7"/>
    <w:rsid w:val="00F958DE"/>
    <w:rsid w:val="00F96BE0"/>
    <w:rsid w:val="00F96CCB"/>
    <w:rsid w:val="00FA0B04"/>
    <w:rsid w:val="00FA159F"/>
    <w:rsid w:val="00FA309A"/>
    <w:rsid w:val="00FA3BBD"/>
    <w:rsid w:val="00FA48ED"/>
    <w:rsid w:val="00FA4DED"/>
    <w:rsid w:val="00FA5D6D"/>
    <w:rsid w:val="00FA6F6D"/>
    <w:rsid w:val="00FA7F47"/>
    <w:rsid w:val="00FB0A0F"/>
    <w:rsid w:val="00FB0DE9"/>
    <w:rsid w:val="00FB25AD"/>
    <w:rsid w:val="00FB52CC"/>
    <w:rsid w:val="00FB54D8"/>
    <w:rsid w:val="00FB61C6"/>
    <w:rsid w:val="00FB6B5E"/>
    <w:rsid w:val="00FB6BFD"/>
    <w:rsid w:val="00FB7090"/>
    <w:rsid w:val="00FB7855"/>
    <w:rsid w:val="00FB7A2B"/>
    <w:rsid w:val="00FB7C18"/>
    <w:rsid w:val="00FC0760"/>
    <w:rsid w:val="00FC15BA"/>
    <w:rsid w:val="00FC1CBB"/>
    <w:rsid w:val="00FC2750"/>
    <w:rsid w:val="00FC38FC"/>
    <w:rsid w:val="00FC452B"/>
    <w:rsid w:val="00FC4C83"/>
    <w:rsid w:val="00FC5AEF"/>
    <w:rsid w:val="00FC6115"/>
    <w:rsid w:val="00FC6681"/>
    <w:rsid w:val="00FC77D2"/>
    <w:rsid w:val="00FD0440"/>
    <w:rsid w:val="00FD0A39"/>
    <w:rsid w:val="00FD1183"/>
    <w:rsid w:val="00FD4867"/>
    <w:rsid w:val="00FD4A8C"/>
    <w:rsid w:val="00FD4E97"/>
    <w:rsid w:val="00FD5780"/>
    <w:rsid w:val="00FD76CF"/>
    <w:rsid w:val="00FE09CA"/>
    <w:rsid w:val="00FE0CF6"/>
    <w:rsid w:val="00FE10D7"/>
    <w:rsid w:val="00FE1FCF"/>
    <w:rsid w:val="00FE2322"/>
    <w:rsid w:val="00FE41BB"/>
    <w:rsid w:val="00FE5BB9"/>
    <w:rsid w:val="00FE66FE"/>
    <w:rsid w:val="00FF009C"/>
    <w:rsid w:val="00FF0F58"/>
    <w:rsid w:val="00FF136B"/>
    <w:rsid w:val="00FF1946"/>
    <w:rsid w:val="00FF2234"/>
    <w:rsid w:val="00FF2917"/>
    <w:rsid w:val="00FF2D6D"/>
    <w:rsid w:val="00FF2F0E"/>
    <w:rsid w:val="00FF2F6F"/>
    <w:rsid w:val="00FF3F5E"/>
    <w:rsid w:val="00FF4511"/>
    <w:rsid w:val="00FF782D"/>
    <w:rsid w:val="00FF79D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D1647"/>
  <w15:docId w15:val="{C38CBDFF-CA0D-4E64-BB70-E07A0F7E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C1"/>
    <w:pPr>
      <w:spacing w:after="120" w:line="276" w:lineRule="auto"/>
      <w:jc w:val="both"/>
    </w:pPr>
    <w:rPr>
      <w:rFonts w:ascii="Gill Sans MT" w:eastAsia="Times New Roman" w:hAnsi="Gill Sans MT"/>
      <w:sz w:val="23"/>
      <w:szCs w:val="24"/>
    </w:rPr>
  </w:style>
  <w:style w:type="paragraph" w:styleId="Naslov1">
    <w:name w:val="heading 1"/>
    <w:basedOn w:val="Normal"/>
    <w:next w:val="Normal"/>
    <w:link w:val="Naslov1Char"/>
    <w:qFormat/>
    <w:rsid w:val="003A58C1"/>
    <w:pPr>
      <w:keepNext/>
      <w:numPr>
        <w:numId w:val="1"/>
      </w:numPr>
      <w:spacing w:before="600" w:after="480"/>
      <w:outlineLvl w:val="0"/>
    </w:pPr>
    <w:rPr>
      <w:rFonts w:eastAsia="Calibri"/>
      <w:b/>
      <w:bCs/>
      <w:kern w:val="32"/>
      <w:sz w:val="28"/>
      <w:szCs w:val="32"/>
    </w:rPr>
  </w:style>
  <w:style w:type="paragraph" w:styleId="Naslov2">
    <w:name w:val="heading 2"/>
    <w:basedOn w:val="Normal"/>
    <w:next w:val="Normal"/>
    <w:link w:val="Naslov2Char"/>
    <w:uiPriority w:val="9"/>
    <w:unhideWhenUsed/>
    <w:qFormat/>
    <w:rsid w:val="001B2EF8"/>
    <w:pPr>
      <w:keepNext/>
      <w:numPr>
        <w:ilvl w:val="1"/>
        <w:numId w:val="1"/>
      </w:numPr>
      <w:spacing w:before="480" w:after="360"/>
      <w:outlineLvl w:val="1"/>
    </w:pPr>
    <w:rPr>
      <w:b/>
      <w:bCs/>
      <w:iCs/>
      <w:szCs w:val="28"/>
    </w:rPr>
  </w:style>
  <w:style w:type="paragraph" w:styleId="Naslov3">
    <w:name w:val="heading 3"/>
    <w:basedOn w:val="Normal"/>
    <w:next w:val="Normal"/>
    <w:link w:val="Naslov3Char"/>
    <w:uiPriority w:val="9"/>
    <w:unhideWhenUsed/>
    <w:qFormat/>
    <w:rsid w:val="00F635D3"/>
    <w:pPr>
      <w:numPr>
        <w:ilvl w:val="2"/>
        <w:numId w:val="1"/>
      </w:numPr>
      <w:spacing w:before="360" w:after="240"/>
      <w:outlineLvl w:val="2"/>
    </w:pPr>
    <w:rPr>
      <w:b/>
      <w:bCs/>
      <w:szCs w:val="26"/>
    </w:rPr>
  </w:style>
  <w:style w:type="paragraph" w:styleId="Naslov4">
    <w:name w:val="heading 4"/>
    <w:basedOn w:val="Naslov3"/>
    <w:next w:val="Normal"/>
    <w:link w:val="Naslov4Char"/>
    <w:uiPriority w:val="9"/>
    <w:unhideWhenUsed/>
    <w:qFormat/>
    <w:rsid w:val="00CC6BC1"/>
    <w:pPr>
      <w:numPr>
        <w:ilvl w:val="3"/>
      </w:numPr>
      <w:spacing w:before="240" w:after="120"/>
      <w:ind w:left="1713" w:hanging="862"/>
      <w:outlineLvl w:val="3"/>
    </w:pPr>
    <w:rPr>
      <w:bCs w:val="0"/>
      <w:szCs w:val="28"/>
    </w:rPr>
  </w:style>
  <w:style w:type="paragraph" w:styleId="Naslov5">
    <w:name w:val="heading 5"/>
    <w:basedOn w:val="Normal"/>
    <w:next w:val="Normal"/>
    <w:link w:val="Naslov5Char"/>
    <w:uiPriority w:val="9"/>
    <w:unhideWhenUsed/>
    <w:qFormat/>
    <w:rsid w:val="005D3181"/>
    <w:pPr>
      <w:numPr>
        <w:ilvl w:val="4"/>
        <w:numId w:val="1"/>
      </w:numPr>
      <w:spacing w:before="240" w:after="60"/>
      <w:outlineLvl w:val="4"/>
    </w:pPr>
    <w:rPr>
      <w:rFonts w:ascii="Calibri" w:hAnsi="Calibri"/>
      <w:b/>
      <w:bCs/>
      <w:i/>
      <w:iCs/>
      <w:sz w:val="26"/>
      <w:szCs w:val="26"/>
    </w:rPr>
  </w:style>
  <w:style w:type="paragraph" w:styleId="Naslov6">
    <w:name w:val="heading 6"/>
    <w:basedOn w:val="Normal"/>
    <w:next w:val="TIJELOJV"/>
    <w:link w:val="Naslov6Char"/>
    <w:uiPriority w:val="9"/>
    <w:unhideWhenUsed/>
    <w:qFormat/>
    <w:rsid w:val="007157A5"/>
    <w:pPr>
      <w:spacing w:before="240" w:after="60"/>
      <w:outlineLvl w:val="5"/>
    </w:pPr>
    <w:rPr>
      <w:b/>
      <w:bCs/>
      <w:sz w:val="28"/>
      <w:szCs w:val="22"/>
    </w:rPr>
  </w:style>
  <w:style w:type="paragraph" w:styleId="Naslov7">
    <w:name w:val="heading 7"/>
    <w:basedOn w:val="Normal"/>
    <w:next w:val="Normal"/>
    <w:link w:val="Naslov7Char"/>
    <w:uiPriority w:val="9"/>
    <w:semiHidden/>
    <w:unhideWhenUsed/>
    <w:qFormat/>
    <w:rsid w:val="005D3181"/>
    <w:pPr>
      <w:numPr>
        <w:ilvl w:val="6"/>
        <w:numId w:val="1"/>
      </w:numPr>
      <w:spacing w:before="240" w:after="60"/>
      <w:outlineLvl w:val="6"/>
    </w:pPr>
    <w:rPr>
      <w:rFonts w:ascii="Calibri" w:hAnsi="Calibri"/>
    </w:rPr>
  </w:style>
  <w:style w:type="paragraph" w:styleId="Naslov8">
    <w:name w:val="heading 8"/>
    <w:basedOn w:val="Normal"/>
    <w:next w:val="Normal"/>
    <w:link w:val="Naslov8Char"/>
    <w:uiPriority w:val="9"/>
    <w:semiHidden/>
    <w:unhideWhenUsed/>
    <w:qFormat/>
    <w:rsid w:val="005D3181"/>
    <w:pPr>
      <w:numPr>
        <w:ilvl w:val="7"/>
        <w:numId w:val="1"/>
      </w:numPr>
      <w:spacing w:before="240" w:after="60"/>
      <w:outlineLvl w:val="7"/>
    </w:pPr>
    <w:rPr>
      <w:rFonts w:ascii="Calibri" w:hAnsi="Calibri"/>
      <w:i/>
      <w:iCs/>
    </w:rPr>
  </w:style>
  <w:style w:type="paragraph" w:styleId="Naslov9">
    <w:name w:val="heading 9"/>
    <w:basedOn w:val="Normal"/>
    <w:next w:val="Normal"/>
    <w:link w:val="Naslov9Char"/>
    <w:uiPriority w:val="9"/>
    <w:semiHidden/>
    <w:unhideWhenUsed/>
    <w:qFormat/>
    <w:rsid w:val="005D3181"/>
    <w:pPr>
      <w:numPr>
        <w:ilvl w:val="8"/>
        <w:numId w:val="1"/>
      </w:num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A58C1"/>
    <w:rPr>
      <w:rFonts w:ascii="Gill Sans MT" w:hAnsi="Gill Sans MT"/>
      <w:b/>
      <w:bCs/>
      <w:kern w:val="32"/>
      <w:sz w:val="28"/>
      <w:szCs w:val="32"/>
    </w:rPr>
  </w:style>
  <w:style w:type="character" w:customStyle="1" w:styleId="Naslov2Char">
    <w:name w:val="Naslov 2 Char"/>
    <w:link w:val="Naslov2"/>
    <w:uiPriority w:val="9"/>
    <w:rsid w:val="001B2EF8"/>
    <w:rPr>
      <w:rFonts w:ascii="Gill Sans MT" w:eastAsia="Times New Roman" w:hAnsi="Gill Sans MT"/>
      <w:b/>
      <w:bCs/>
      <w:iCs/>
      <w:sz w:val="23"/>
      <w:szCs w:val="28"/>
    </w:rPr>
  </w:style>
  <w:style w:type="character" w:customStyle="1" w:styleId="Naslov3Char">
    <w:name w:val="Naslov 3 Char"/>
    <w:link w:val="Naslov3"/>
    <w:uiPriority w:val="9"/>
    <w:rsid w:val="00F635D3"/>
    <w:rPr>
      <w:rFonts w:ascii="Gill Sans MT" w:eastAsia="Times New Roman" w:hAnsi="Gill Sans MT"/>
      <w:b/>
      <w:bCs/>
      <w:sz w:val="23"/>
      <w:szCs w:val="26"/>
    </w:rPr>
  </w:style>
  <w:style w:type="character" w:customStyle="1" w:styleId="Naslov4Char">
    <w:name w:val="Naslov 4 Char"/>
    <w:link w:val="Naslov4"/>
    <w:uiPriority w:val="9"/>
    <w:rsid w:val="00CC6BC1"/>
    <w:rPr>
      <w:rFonts w:ascii="Gill Sans MT" w:eastAsia="Times New Roman" w:hAnsi="Gill Sans MT"/>
      <w:b/>
      <w:sz w:val="23"/>
      <w:szCs w:val="28"/>
    </w:rPr>
  </w:style>
  <w:style w:type="character" w:customStyle="1" w:styleId="Naslov5Char">
    <w:name w:val="Naslov 5 Char"/>
    <w:link w:val="Naslov5"/>
    <w:uiPriority w:val="9"/>
    <w:rsid w:val="005D3181"/>
    <w:rPr>
      <w:rFonts w:eastAsia="Times New Roman"/>
      <w:b/>
      <w:bCs/>
      <w:i/>
      <w:iCs/>
      <w:sz w:val="26"/>
      <w:szCs w:val="26"/>
    </w:rPr>
  </w:style>
  <w:style w:type="paragraph" w:customStyle="1" w:styleId="TIJELOJV">
    <w:name w:val="TIJELO_JV"/>
    <w:basedOn w:val="t-9-8"/>
    <w:qFormat/>
    <w:rsid w:val="005D3181"/>
    <w:pPr>
      <w:keepNext/>
      <w:spacing w:before="600" w:beforeAutospacing="0" w:after="240" w:afterAutospacing="0"/>
    </w:pPr>
    <w:rPr>
      <w:rFonts w:ascii="Arial" w:hAnsi="Arial" w:cs="Arial"/>
      <w:b/>
      <w:szCs w:val="22"/>
    </w:rPr>
  </w:style>
  <w:style w:type="paragraph" w:customStyle="1" w:styleId="t-9-8">
    <w:name w:val="t-9-8"/>
    <w:basedOn w:val="Normal"/>
    <w:rsid w:val="005D3181"/>
    <w:pPr>
      <w:spacing w:before="100" w:beforeAutospacing="1" w:after="100" w:afterAutospacing="1"/>
    </w:pPr>
  </w:style>
  <w:style w:type="character" w:customStyle="1" w:styleId="Naslov6Char">
    <w:name w:val="Naslov 6 Char"/>
    <w:link w:val="Naslov6"/>
    <w:uiPriority w:val="9"/>
    <w:rsid w:val="007157A5"/>
    <w:rPr>
      <w:rFonts w:ascii="Gill Sans MT" w:eastAsia="Times New Roman" w:hAnsi="Gill Sans MT"/>
      <w:b/>
      <w:bCs/>
      <w:sz w:val="28"/>
      <w:szCs w:val="22"/>
    </w:rPr>
  </w:style>
  <w:style w:type="character" w:customStyle="1" w:styleId="Naslov7Char">
    <w:name w:val="Naslov 7 Char"/>
    <w:link w:val="Naslov7"/>
    <w:uiPriority w:val="9"/>
    <w:semiHidden/>
    <w:rsid w:val="005D3181"/>
    <w:rPr>
      <w:rFonts w:eastAsia="Times New Roman"/>
      <w:sz w:val="23"/>
      <w:szCs w:val="24"/>
    </w:rPr>
  </w:style>
  <w:style w:type="character" w:customStyle="1" w:styleId="Naslov8Char">
    <w:name w:val="Naslov 8 Char"/>
    <w:link w:val="Naslov8"/>
    <w:uiPriority w:val="9"/>
    <w:semiHidden/>
    <w:rsid w:val="005D3181"/>
    <w:rPr>
      <w:rFonts w:eastAsia="Times New Roman"/>
      <w:i/>
      <w:iCs/>
      <w:sz w:val="23"/>
      <w:szCs w:val="24"/>
    </w:rPr>
  </w:style>
  <w:style w:type="character" w:customStyle="1" w:styleId="Naslov9Char">
    <w:name w:val="Naslov 9 Char"/>
    <w:link w:val="Naslov9"/>
    <w:uiPriority w:val="9"/>
    <w:semiHidden/>
    <w:rsid w:val="005D3181"/>
    <w:rPr>
      <w:rFonts w:ascii="Cambria" w:eastAsia="Times New Roman" w:hAnsi="Cambria"/>
      <w:sz w:val="22"/>
      <w:szCs w:val="22"/>
    </w:rPr>
  </w:style>
  <w:style w:type="character" w:styleId="Hiperveza">
    <w:name w:val="Hyperlink"/>
    <w:basedOn w:val="Naslov2Char"/>
    <w:uiPriority w:val="99"/>
    <w:unhideWhenUsed/>
    <w:rsid w:val="007F5426"/>
    <w:rPr>
      <w:rFonts w:ascii="Gill Sans MT" w:eastAsia="Times New Roman" w:hAnsi="Gill Sans MT"/>
      <w:b/>
      <w:bCs/>
      <w:iCs/>
      <w:color w:val="auto"/>
      <w:sz w:val="23"/>
      <w:szCs w:val="28"/>
      <w:u w:val="single"/>
    </w:rPr>
  </w:style>
  <w:style w:type="paragraph" w:customStyle="1" w:styleId="Default">
    <w:name w:val="Default"/>
    <w:rsid w:val="005D3181"/>
    <w:pPr>
      <w:autoSpaceDE w:val="0"/>
      <w:autoSpaceDN w:val="0"/>
      <w:adjustRightInd w:val="0"/>
    </w:pPr>
    <w:rPr>
      <w:rFonts w:cs="Calibri"/>
      <w:color w:val="000000"/>
      <w:sz w:val="24"/>
      <w:szCs w:val="24"/>
    </w:rPr>
  </w:style>
  <w:style w:type="paragraph" w:styleId="Tekstbalonia">
    <w:name w:val="Balloon Text"/>
    <w:basedOn w:val="Normal"/>
    <w:link w:val="TekstbaloniaChar"/>
    <w:uiPriority w:val="99"/>
    <w:unhideWhenUsed/>
    <w:rsid w:val="005D3181"/>
    <w:rPr>
      <w:rFonts w:ascii="Tahoma" w:hAnsi="Tahoma"/>
      <w:sz w:val="16"/>
      <w:szCs w:val="16"/>
    </w:rPr>
  </w:style>
  <w:style w:type="character" w:customStyle="1" w:styleId="TekstbaloniaChar">
    <w:name w:val="Tekst balončića Char"/>
    <w:link w:val="Tekstbalonia"/>
    <w:uiPriority w:val="99"/>
    <w:rsid w:val="005D3181"/>
    <w:rPr>
      <w:rFonts w:ascii="Tahoma" w:eastAsia="Times New Roman" w:hAnsi="Tahoma" w:cs="Times New Roman"/>
      <w:sz w:val="16"/>
      <w:szCs w:val="16"/>
      <w:lang w:eastAsia="hr-HR"/>
    </w:rPr>
  </w:style>
  <w:style w:type="paragraph" w:customStyle="1" w:styleId="t-98-2">
    <w:name w:val="t-98-2"/>
    <w:basedOn w:val="Normal"/>
    <w:rsid w:val="005D3181"/>
    <w:pPr>
      <w:spacing w:before="100" w:beforeAutospacing="1" w:after="100" w:afterAutospacing="1"/>
    </w:pPr>
  </w:style>
  <w:style w:type="paragraph" w:styleId="Bezproreda">
    <w:name w:val="No Spacing"/>
    <w:link w:val="BezproredaChar"/>
    <w:uiPriority w:val="1"/>
    <w:qFormat/>
    <w:rsid w:val="005D3181"/>
    <w:rPr>
      <w:sz w:val="22"/>
      <w:szCs w:val="22"/>
      <w:lang w:eastAsia="en-US"/>
    </w:rPr>
  </w:style>
  <w:style w:type="character" w:customStyle="1" w:styleId="BezproredaChar">
    <w:name w:val="Bez proreda Char"/>
    <w:link w:val="Bezproreda"/>
    <w:uiPriority w:val="1"/>
    <w:rsid w:val="005D3181"/>
    <w:rPr>
      <w:sz w:val="22"/>
      <w:szCs w:val="22"/>
      <w:lang w:val="hr-HR" w:eastAsia="en-US" w:bidi="ar-SA"/>
    </w:rPr>
  </w:style>
  <w:style w:type="paragraph" w:styleId="Tekstfusnote">
    <w:name w:val="footnote text"/>
    <w:aliases w:val="notefranz"/>
    <w:basedOn w:val="Normal"/>
    <w:link w:val="TekstfusnoteChar"/>
    <w:uiPriority w:val="99"/>
    <w:unhideWhenUsed/>
    <w:rsid w:val="005D3181"/>
    <w:pPr>
      <w:spacing w:after="200"/>
    </w:pPr>
    <w:rPr>
      <w:rFonts w:ascii="Calibri" w:eastAsia="Calibri" w:hAnsi="Calibri"/>
      <w:sz w:val="20"/>
      <w:szCs w:val="20"/>
    </w:rPr>
  </w:style>
  <w:style w:type="character" w:customStyle="1" w:styleId="TekstfusnoteChar">
    <w:name w:val="Tekst fusnote Char"/>
    <w:aliases w:val="notefranz Char"/>
    <w:link w:val="Tekstfusnote"/>
    <w:uiPriority w:val="99"/>
    <w:rsid w:val="005D3181"/>
    <w:rPr>
      <w:rFonts w:ascii="Calibri" w:eastAsia="Calibri" w:hAnsi="Calibri" w:cs="Times New Roman"/>
      <w:sz w:val="20"/>
      <w:szCs w:val="20"/>
    </w:rPr>
  </w:style>
  <w:style w:type="character" w:styleId="Referencafusnote">
    <w:name w:val="footnote reference"/>
    <w:uiPriority w:val="99"/>
    <w:unhideWhenUsed/>
    <w:rsid w:val="005D3181"/>
    <w:rPr>
      <w:vertAlign w:val="superscript"/>
    </w:rPr>
  </w:style>
  <w:style w:type="paragraph" w:styleId="StandardWeb">
    <w:name w:val="Normal (Web)"/>
    <w:basedOn w:val="Normal"/>
    <w:uiPriority w:val="99"/>
    <w:unhideWhenUsed/>
    <w:rsid w:val="005D3181"/>
    <w:pPr>
      <w:spacing w:before="100" w:beforeAutospacing="1" w:after="100" w:afterAutospacing="1"/>
    </w:pPr>
  </w:style>
  <w:style w:type="character" w:styleId="Naglaeno">
    <w:name w:val="Strong"/>
    <w:uiPriority w:val="22"/>
    <w:qFormat/>
    <w:rsid w:val="005D3181"/>
    <w:rPr>
      <w:b/>
      <w:bCs/>
    </w:rPr>
  </w:style>
  <w:style w:type="paragraph" w:customStyle="1" w:styleId="clanak">
    <w:name w:val="clanak"/>
    <w:basedOn w:val="Normal"/>
    <w:rsid w:val="005D3181"/>
    <w:pPr>
      <w:spacing w:before="100" w:beforeAutospacing="1" w:after="100" w:afterAutospacing="1"/>
    </w:pPr>
  </w:style>
  <w:style w:type="paragraph" w:styleId="Odlomakpopisa">
    <w:name w:val="List Paragraph"/>
    <w:basedOn w:val="Normal"/>
    <w:link w:val="OdlomakpopisaChar"/>
    <w:uiPriority w:val="34"/>
    <w:qFormat/>
    <w:rsid w:val="005D3181"/>
    <w:pPr>
      <w:ind w:left="708"/>
    </w:pPr>
    <w:rPr>
      <w:rFonts w:ascii="Arial Narrow" w:hAnsi="Arial Narrow"/>
      <w:sz w:val="22"/>
    </w:rPr>
  </w:style>
  <w:style w:type="paragraph" w:styleId="Tijeloteksta-uvlaka3">
    <w:name w:val="Body Text Indent 3"/>
    <w:aliases w:val=" uvlaka 3,uvlaka 3"/>
    <w:basedOn w:val="Normal"/>
    <w:link w:val="Tijeloteksta-uvlaka3Char"/>
    <w:rsid w:val="005D3181"/>
    <w:pPr>
      <w:ind w:left="-567" w:firstLine="567"/>
    </w:pPr>
    <w:rPr>
      <w:szCs w:val="20"/>
      <w:lang w:val="en-US"/>
    </w:rPr>
  </w:style>
  <w:style w:type="character" w:customStyle="1" w:styleId="Tijeloteksta-uvlaka3Char">
    <w:name w:val="Tijelo teksta - uvlaka 3 Char"/>
    <w:aliases w:val=" uvlaka 3 Char,uvlaka 3 Char"/>
    <w:link w:val="Tijeloteksta-uvlaka3"/>
    <w:rsid w:val="005D3181"/>
    <w:rPr>
      <w:rFonts w:ascii="Times New Roman" w:eastAsia="Times New Roman" w:hAnsi="Times New Roman" w:cs="Times New Roman"/>
      <w:sz w:val="24"/>
      <w:szCs w:val="20"/>
      <w:lang w:val="en-US"/>
    </w:rPr>
  </w:style>
  <w:style w:type="paragraph" w:styleId="Zaglavlje">
    <w:name w:val="header"/>
    <w:basedOn w:val="Normal"/>
    <w:link w:val="ZaglavljeChar"/>
    <w:uiPriority w:val="99"/>
    <w:unhideWhenUsed/>
    <w:rsid w:val="005D3181"/>
    <w:pPr>
      <w:tabs>
        <w:tab w:val="center" w:pos="4536"/>
        <w:tab w:val="right" w:pos="9072"/>
      </w:tabs>
    </w:pPr>
  </w:style>
  <w:style w:type="character" w:customStyle="1" w:styleId="ZaglavljeChar">
    <w:name w:val="Zaglavlje Char"/>
    <w:link w:val="Zaglavlje"/>
    <w:uiPriority w:val="99"/>
    <w:rsid w:val="005D3181"/>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D3181"/>
    <w:pPr>
      <w:tabs>
        <w:tab w:val="center" w:pos="4536"/>
        <w:tab w:val="right" w:pos="9072"/>
      </w:tabs>
    </w:pPr>
  </w:style>
  <w:style w:type="character" w:customStyle="1" w:styleId="PodnojeChar">
    <w:name w:val="Podnožje Char"/>
    <w:link w:val="Podnoje"/>
    <w:uiPriority w:val="99"/>
    <w:rsid w:val="005D3181"/>
    <w:rPr>
      <w:rFonts w:ascii="Times New Roman" w:eastAsia="Times New Roman" w:hAnsi="Times New Roman" w:cs="Times New Roman"/>
      <w:sz w:val="24"/>
      <w:szCs w:val="24"/>
    </w:rPr>
  </w:style>
  <w:style w:type="paragraph" w:styleId="Opisslike">
    <w:name w:val="caption"/>
    <w:basedOn w:val="Normal"/>
    <w:next w:val="Normal"/>
    <w:qFormat/>
    <w:rsid w:val="005D3181"/>
    <w:pPr>
      <w:ind w:left="-567" w:firstLine="567"/>
    </w:pPr>
    <w:rPr>
      <w:szCs w:val="20"/>
      <w:lang w:val="en-US"/>
    </w:rPr>
  </w:style>
  <w:style w:type="paragraph" w:customStyle="1" w:styleId="tekst">
    <w:name w:val="tekst"/>
    <w:basedOn w:val="Normal"/>
    <w:rsid w:val="005D3181"/>
    <w:pPr>
      <w:spacing w:before="100" w:beforeAutospacing="1" w:after="100" w:afterAutospacing="1"/>
    </w:pPr>
  </w:style>
  <w:style w:type="character" w:customStyle="1" w:styleId="bold1">
    <w:name w:val="bold1"/>
    <w:rsid w:val="005D3181"/>
    <w:rPr>
      <w:b/>
      <w:bCs/>
    </w:rPr>
  </w:style>
  <w:style w:type="paragraph" w:styleId="TOCNaslov">
    <w:name w:val="TOC Heading"/>
    <w:basedOn w:val="Normal"/>
    <w:next w:val="Normal"/>
    <w:uiPriority w:val="39"/>
    <w:unhideWhenUsed/>
    <w:qFormat/>
    <w:rsid w:val="005D3181"/>
    <w:pPr>
      <w:keepLines/>
      <w:spacing w:before="480"/>
    </w:pPr>
    <w:rPr>
      <w:color w:val="365F91"/>
      <w:sz w:val="28"/>
      <w:szCs w:val="28"/>
      <w:lang w:val="en-US" w:eastAsia="en-US"/>
    </w:rPr>
  </w:style>
  <w:style w:type="paragraph" w:styleId="Sadraj1">
    <w:name w:val="toc 1"/>
    <w:basedOn w:val="Normal"/>
    <w:next w:val="Normal"/>
    <w:link w:val="Sadraj1Char"/>
    <w:autoRedefine/>
    <w:uiPriority w:val="39"/>
    <w:unhideWhenUsed/>
    <w:qFormat/>
    <w:rsid w:val="0076418D"/>
    <w:pPr>
      <w:keepLines/>
      <w:tabs>
        <w:tab w:val="left" w:pos="426"/>
        <w:tab w:val="right" w:leader="dot" w:pos="9072"/>
      </w:tabs>
      <w:spacing w:before="120" w:line="240" w:lineRule="auto"/>
      <w:ind w:left="425" w:hanging="425"/>
    </w:pPr>
    <w:rPr>
      <w:b/>
      <w:noProof/>
      <w:szCs w:val="23"/>
    </w:rPr>
  </w:style>
  <w:style w:type="paragraph" w:customStyle="1" w:styleId="Char">
    <w:name w:val="Char"/>
    <w:basedOn w:val="Normal"/>
    <w:rsid w:val="005D3181"/>
    <w:pPr>
      <w:spacing w:after="160" w:line="240" w:lineRule="exact"/>
    </w:pPr>
    <w:rPr>
      <w:rFonts w:ascii="Tahoma" w:hAnsi="Tahoma"/>
      <w:sz w:val="20"/>
      <w:szCs w:val="20"/>
      <w:lang w:val="en-US" w:eastAsia="en-US"/>
    </w:rPr>
  </w:style>
  <w:style w:type="paragraph" w:styleId="Sadraj2">
    <w:name w:val="toc 2"/>
    <w:basedOn w:val="Normal"/>
    <w:next w:val="Normal"/>
    <w:link w:val="Sadraj2Char"/>
    <w:autoRedefine/>
    <w:uiPriority w:val="39"/>
    <w:unhideWhenUsed/>
    <w:qFormat/>
    <w:rsid w:val="00D130B8"/>
    <w:pPr>
      <w:tabs>
        <w:tab w:val="left" w:pos="1276"/>
        <w:tab w:val="right" w:leader="dot" w:pos="9062"/>
      </w:tabs>
      <w:spacing w:after="0"/>
      <w:ind w:left="1134" w:hanging="510"/>
    </w:pPr>
    <w:rPr>
      <w:noProof/>
      <w:sz w:val="20"/>
    </w:rPr>
  </w:style>
  <w:style w:type="character" w:customStyle="1" w:styleId="Bodytext">
    <w:name w:val="Body text_"/>
    <w:link w:val="BodyText1"/>
    <w:rsid w:val="005D3181"/>
    <w:rPr>
      <w:rFonts w:ascii="Times New Roman" w:eastAsia="Times New Roman" w:hAnsi="Times New Roman"/>
      <w:sz w:val="23"/>
      <w:szCs w:val="23"/>
      <w:shd w:val="clear" w:color="auto" w:fill="FFFFFF"/>
    </w:rPr>
  </w:style>
  <w:style w:type="paragraph" w:customStyle="1" w:styleId="BodyText1">
    <w:name w:val="Body Text1"/>
    <w:basedOn w:val="Normal"/>
    <w:link w:val="Bodytext"/>
    <w:rsid w:val="005D3181"/>
    <w:pPr>
      <w:shd w:val="clear" w:color="auto" w:fill="FFFFFF"/>
      <w:spacing w:after="60" w:line="0" w:lineRule="atLeast"/>
      <w:ind w:hanging="1640"/>
    </w:pPr>
    <w:rPr>
      <w:szCs w:val="23"/>
    </w:rPr>
  </w:style>
  <w:style w:type="paragraph" w:customStyle="1" w:styleId="PODNASLOV">
    <w:name w:val="PODNASLOV"/>
    <w:basedOn w:val="Normal"/>
    <w:rsid w:val="005D3181"/>
    <w:rPr>
      <w:rFonts w:ascii="Arial" w:hAnsi="Arial" w:cs="Arial"/>
      <w:b/>
      <w:szCs w:val="20"/>
      <w:lang w:eastAsia="en-US"/>
    </w:rPr>
  </w:style>
  <w:style w:type="paragraph" w:customStyle="1" w:styleId="bezproreda0">
    <w:name w:val="bezproreda"/>
    <w:basedOn w:val="Normal"/>
    <w:rsid w:val="005D3181"/>
    <w:pPr>
      <w:spacing w:before="100" w:beforeAutospacing="1" w:after="100" w:afterAutospacing="1"/>
    </w:pPr>
    <w:rPr>
      <w:rFonts w:eastAsia="Calibri"/>
    </w:rPr>
  </w:style>
  <w:style w:type="paragraph" w:customStyle="1" w:styleId="klasa2">
    <w:name w:val="klasa2"/>
    <w:basedOn w:val="Normal"/>
    <w:rsid w:val="005D3181"/>
    <w:pPr>
      <w:spacing w:before="100" w:beforeAutospacing="1" w:after="100" w:afterAutospacing="1"/>
    </w:pPr>
  </w:style>
  <w:style w:type="paragraph" w:customStyle="1" w:styleId="T-98-20">
    <w:name w:val="T-9/8-2"/>
    <w:link w:val="T-98-2Char"/>
    <w:rsid w:val="005D3181"/>
    <w:pPr>
      <w:widowControl w:val="0"/>
      <w:tabs>
        <w:tab w:val="left" w:pos="2153"/>
      </w:tabs>
      <w:adjustRightInd w:val="0"/>
      <w:spacing w:after="43"/>
      <w:ind w:firstLine="342"/>
      <w:jc w:val="both"/>
    </w:pPr>
    <w:rPr>
      <w:rFonts w:ascii="Times-NewRoman" w:eastAsia="Times New Roman" w:hAnsi="Times-NewRoman"/>
      <w:sz w:val="19"/>
      <w:szCs w:val="19"/>
    </w:rPr>
  </w:style>
  <w:style w:type="character" w:customStyle="1" w:styleId="T-98-2Char">
    <w:name w:val="T-9/8-2 Char"/>
    <w:link w:val="T-98-20"/>
    <w:locked/>
    <w:rsid w:val="00E21A01"/>
    <w:rPr>
      <w:rFonts w:ascii="Times-NewRoman" w:eastAsia="Times New Roman" w:hAnsi="Times-NewRoman"/>
      <w:sz w:val="19"/>
      <w:szCs w:val="19"/>
      <w:lang w:val="hr-HR" w:eastAsia="hr-HR" w:bidi="ar-SA"/>
    </w:rPr>
  </w:style>
  <w:style w:type="character" w:styleId="HTML-navod">
    <w:name w:val="HTML Cite"/>
    <w:rsid w:val="005D3181"/>
    <w:rPr>
      <w:i/>
      <w:iCs/>
    </w:rPr>
  </w:style>
  <w:style w:type="character" w:customStyle="1" w:styleId="Normal1">
    <w:name w:val="Normal1"/>
    <w:basedOn w:val="Zadanifontodlomka"/>
    <w:rsid w:val="005D3181"/>
  </w:style>
  <w:style w:type="paragraph" w:styleId="Naslov">
    <w:name w:val="Title"/>
    <w:basedOn w:val="Normal"/>
    <w:link w:val="NaslovChar"/>
    <w:qFormat/>
    <w:rsid w:val="005D3181"/>
    <w:pPr>
      <w:jc w:val="center"/>
    </w:pPr>
    <w:rPr>
      <w:b/>
      <w:bCs/>
      <w:sz w:val="40"/>
    </w:rPr>
  </w:style>
  <w:style w:type="character" w:customStyle="1" w:styleId="NaslovChar">
    <w:name w:val="Naslov Char"/>
    <w:link w:val="Naslov"/>
    <w:rsid w:val="005D3181"/>
    <w:rPr>
      <w:rFonts w:ascii="Times New Roman" w:eastAsia="Times New Roman" w:hAnsi="Times New Roman" w:cs="Times New Roman"/>
      <w:b/>
      <w:bCs/>
      <w:sz w:val="40"/>
      <w:szCs w:val="24"/>
    </w:rPr>
  </w:style>
  <w:style w:type="character" w:customStyle="1" w:styleId="klasifikacijskaoznaka">
    <w:name w:val="klasifikacijskaoznaka"/>
    <w:basedOn w:val="Zadanifontodlomka"/>
    <w:rsid w:val="005D3181"/>
  </w:style>
  <w:style w:type="paragraph" w:styleId="Tijeloteksta">
    <w:name w:val="Body Text"/>
    <w:basedOn w:val="Normal"/>
    <w:link w:val="TijelotekstaChar"/>
    <w:rsid w:val="005D3181"/>
    <w:rPr>
      <w:szCs w:val="20"/>
    </w:rPr>
  </w:style>
  <w:style w:type="character" w:customStyle="1" w:styleId="TijelotekstaChar">
    <w:name w:val="Tijelo teksta Char"/>
    <w:link w:val="Tijeloteksta"/>
    <w:rsid w:val="005D3181"/>
    <w:rPr>
      <w:rFonts w:ascii="Times New Roman" w:eastAsia="Times New Roman" w:hAnsi="Times New Roman" w:cs="Times New Roman"/>
      <w:sz w:val="24"/>
      <w:szCs w:val="20"/>
    </w:rPr>
  </w:style>
  <w:style w:type="paragraph" w:customStyle="1" w:styleId="plavastrelica1">
    <w:name w:val="plavastrelica1"/>
    <w:basedOn w:val="Normal"/>
    <w:rsid w:val="005D3181"/>
    <w:rPr>
      <w:rFonts w:ascii="Arial" w:hAnsi="Arial" w:cs="Arial"/>
      <w:b/>
      <w:bCs/>
      <w:color w:val="000000"/>
      <w:sz w:val="17"/>
      <w:szCs w:val="17"/>
    </w:rPr>
  </w:style>
  <w:style w:type="paragraph" w:styleId="Podnaslov0">
    <w:name w:val="Subtitle"/>
    <w:basedOn w:val="Normal"/>
    <w:next w:val="Normal"/>
    <w:link w:val="PodnaslovChar"/>
    <w:qFormat/>
    <w:rsid w:val="005D3181"/>
    <w:pPr>
      <w:spacing w:after="60"/>
      <w:jc w:val="center"/>
      <w:outlineLvl w:val="1"/>
    </w:pPr>
    <w:rPr>
      <w:rFonts w:ascii="Cambria" w:hAnsi="Cambria"/>
    </w:rPr>
  </w:style>
  <w:style w:type="character" w:customStyle="1" w:styleId="PodnaslovChar">
    <w:name w:val="Podnaslov Char"/>
    <w:link w:val="Podnaslov0"/>
    <w:rsid w:val="005D3181"/>
    <w:rPr>
      <w:rFonts w:ascii="Cambria" w:eastAsia="Times New Roman" w:hAnsi="Cambria" w:cs="Times New Roman"/>
      <w:sz w:val="24"/>
      <w:szCs w:val="24"/>
    </w:rPr>
  </w:style>
  <w:style w:type="paragraph" w:customStyle="1" w:styleId="TekstNaslovnice">
    <w:name w:val="TekstNaslovnice"/>
    <w:basedOn w:val="BodyText1"/>
    <w:qFormat/>
    <w:rsid w:val="005D3181"/>
    <w:pPr>
      <w:spacing w:after="0" w:line="240" w:lineRule="auto"/>
      <w:ind w:firstLine="0"/>
      <w:jc w:val="center"/>
    </w:pPr>
    <w:rPr>
      <w:rFonts w:ascii="Arial" w:hAnsi="Arial" w:cs="Arial"/>
      <w:b/>
      <w:color w:val="404040"/>
      <w:sz w:val="28"/>
    </w:rPr>
  </w:style>
  <w:style w:type="paragraph" w:customStyle="1" w:styleId="NormalDB">
    <w:name w:val="NormalDB"/>
    <w:basedOn w:val="Default"/>
    <w:qFormat/>
    <w:rsid w:val="005D3181"/>
    <w:pPr>
      <w:spacing w:before="120" w:after="240" w:line="360" w:lineRule="auto"/>
      <w:ind w:firstLine="426"/>
      <w:jc w:val="both"/>
    </w:pPr>
    <w:rPr>
      <w:rFonts w:ascii="Arial" w:hAnsi="Arial" w:cs="Arial"/>
      <w:sz w:val="22"/>
      <w:szCs w:val="22"/>
    </w:rPr>
  </w:style>
  <w:style w:type="paragraph" w:customStyle="1" w:styleId="NatkunicaDB1">
    <w:name w:val="Natkunica_DB_1"/>
    <w:basedOn w:val="Normal"/>
    <w:qFormat/>
    <w:rsid w:val="005D3181"/>
    <w:pPr>
      <w:numPr>
        <w:numId w:val="2"/>
      </w:numPr>
      <w:autoSpaceDE w:val="0"/>
      <w:autoSpaceDN w:val="0"/>
      <w:adjustRightInd w:val="0"/>
      <w:spacing w:line="360" w:lineRule="auto"/>
      <w:ind w:left="993" w:hanging="284"/>
    </w:pPr>
    <w:rPr>
      <w:rFonts w:ascii="Arial" w:eastAsia="Calibri" w:hAnsi="Arial" w:cs="Arial"/>
      <w:sz w:val="22"/>
      <w:szCs w:val="22"/>
    </w:rPr>
  </w:style>
  <w:style w:type="paragraph" w:customStyle="1" w:styleId="NatkunicaDB2">
    <w:name w:val="Natkunica_DB_2"/>
    <w:basedOn w:val="Normal"/>
    <w:qFormat/>
    <w:rsid w:val="005D3181"/>
    <w:pPr>
      <w:numPr>
        <w:numId w:val="3"/>
      </w:numPr>
      <w:spacing w:after="200" w:line="360" w:lineRule="auto"/>
    </w:pPr>
    <w:rPr>
      <w:rFonts w:ascii="Arial" w:hAnsi="Arial" w:cs="Arial"/>
      <w:sz w:val="22"/>
      <w:szCs w:val="22"/>
    </w:rPr>
  </w:style>
  <w:style w:type="paragraph" w:customStyle="1" w:styleId="1tekst">
    <w:name w:val="1tekst"/>
    <w:basedOn w:val="Normal"/>
    <w:rsid w:val="005D3181"/>
    <w:pPr>
      <w:ind w:left="375" w:right="375" w:firstLine="240"/>
    </w:pPr>
    <w:rPr>
      <w:rFonts w:ascii="Arial" w:eastAsia="MS Mincho" w:hAnsi="Arial" w:cs="Arial"/>
      <w:sz w:val="20"/>
      <w:szCs w:val="20"/>
      <w:lang w:val="en-US" w:eastAsia="en-US"/>
    </w:rPr>
  </w:style>
  <w:style w:type="paragraph" w:customStyle="1" w:styleId="CharCharCharChar">
    <w:name w:val="Char Char Char Char"/>
    <w:basedOn w:val="Normal"/>
    <w:rsid w:val="005D3181"/>
    <w:pPr>
      <w:spacing w:after="160" w:line="240" w:lineRule="exact"/>
    </w:pPr>
    <w:rPr>
      <w:rFonts w:ascii="Tahoma" w:hAnsi="Tahoma"/>
      <w:sz w:val="20"/>
      <w:szCs w:val="20"/>
      <w:lang w:val="en-US" w:eastAsia="en-US"/>
    </w:rPr>
  </w:style>
  <w:style w:type="paragraph" w:styleId="Tijeloteksta-uvlaka2">
    <w:name w:val="Body Text Indent 2"/>
    <w:basedOn w:val="Normal"/>
    <w:link w:val="Tijeloteksta-uvlaka2Char"/>
    <w:rsid w:val="005D3181"/>
    <w:pPr>
      <w:ind w:firstLine="720"/>
    </w:pPr>
    <w:rPr>
      <w:rFonts w:ascii="Arial" w:hAnsi="Arial"/>
      <w:sz w:val="20"/>
      <w:szCs w:val="20"/>
    </w:rPr>
  </w:style>
  <w:style w:type="character" w:customStyle="1" w:styleId="Tijeloteksta-uvlaka2Char">
    <w:name w:val="Tijelo teksta - uvlaka 2 Char"/>
    <w:link w:val="Tijeloteksta-uvlaka2"/>
    <w:rsid w:val="005D3181"/>
    <w:rPr>
      <w:rFonts w:ascii="Arial" w:eastAsia="Times New Roman" w:hAnsi="Arial" w:cs="Arial"/>
    </w:rPr>
  </w:style>
  <w:style w:type="paragraph" w:customStyle="1" w:styleId="4clan">
    <w:name w:val="4clan"/>
    <w:basedOn w:val="Normal"/>
    <w:rsid w:val="005D3181"/>
    <w:pPr>
      <w:spacing w:before="30" w:after="30"/>
      <w:jc w:val="center"/>
    </w:pPr>
    <w:rPr>
      <w:rFonts w:ascii="Arial" w:hAnsi="Arial" w:cs="Arial"/>
      <w:b/>
      <w:bCs/>
      <w:sz w:val="20"/>
      <w:szCs w:val="20"/>
      <w:lang w:val="en-US" w:eastAsia="en-US"/>
    </w:rPr>
  </w:style>
  <w:style w:type="paragraph" w:styleId="Uvuenotijeloteksta">
    <w:name w:val="Body Text Indent"/>
    <w:basedOn w:val="Normal"/>
    <w:link w:val="UvuenotijelotekstaChar"/>
    <w:rsid w:val="005D3181"/>
    <w:pPr>
      <w:ind w:left="283"/>
    </w:pPr>
  </w:style>
  <w:style w:type="character" w:customStyle="1" w:styleId="UvuenotijelotekstaChar">
    <w:name w:val="Uvučeno tijelo teksta Char"/>
    <w:link w:val="Uvuenotijeloteksta"/>
    <w:rsid w:val="005D3181"/>
    <w:rPr>
      <w:rFonts w:ascii="Times New Roman" w:eastAsia="Times New Roman" w:hAnsi="Times New Roman" w:cs="Times New Roman"/>
      <w:sz w:val="24"/>
      <w:szCs w:val="24"/>
    </w:rPr>
  </w:style>
  <w:style w:type="paragraph" w:customStyle="1" w:styleId="GLAVNINASLOV">
    <w:name w:val="GLAVNI NASLOV"/>
    <w:basedOn w:val="Normal"/>
    <w:rsid w:val="005D3181"/>
    <w:pPr>
      <w:jc w:val="center"/>
    </w:pPr>
    <w:rPr>
      <w:rFonts w:ascii="Arial" w:hAnsi="Arial" w:cs="Arial"/>
      <w:b/>
      <w:lang w:eastAsia="en-US"/>
    </w:rPr>
  </w:style>
  <w:style w:type="paragraph" w:customStyle="1" w:styleId="6naslov">
    <w:name w:val="6naslov"/>
    <w:basedOn w:val="Normal"/>
    <w:rsid w:val="005D3181"/>
    <w:pPr>
      <w:spacing w:before="60" w:after="30"/>
      <w:ind w:left="225" w:right="225"/>
      <w:jc w:val="center"/>
    </w:pPr>
    <w:rPr>
      <w:rFonts w:ascii="Arial" w:hAnsi="Arial" w:cs="Arial"/>
      <w:b/>
      <w:bCs/>
      <w:sz w:val="27"/>
      <w:szCs w:val="27"/>
      <w:lang w:val="en-US" w:eastAsia="en-US"/>
    </w:rPr>
  </w:style>
  <w:style w:type="paragraph" w:customStyle="1" w:styleId="7podnas">
    <w:name w:val="7podnas"/>
    <w:basedOn w:val="Normal"/>
    <w:rsid w:val="005D3181"/>
    <w:pPr>
      <w:shd w:val="clear" w:color="auto" w:fill="FFFFFF"/>
      <w:spacing w:before="60"/>
      <w:jc w:val="center"/>
    </w:pPr>
    <w:rPr>
      <w:rFonts w:ascii="Arial" w:hAnsi="Arial" w:cs="Arial"/>
      <w:b/>
      <w:bCs/>
      <w:sz w:val="27"/>
      <w:szCs w:val="27"/>
      <w:lang w:val="en-US" w:eastAsia="en-US"/>
    </w:rPr>
  </w:style>
  <w:style w:type="paragraph" w:styleId="Tijeloteksta3">
    <w:name w:val="Body Text 3"/>
    <w:basedOn w:val="Normal"/>
    <w:link w:val="Tijeloteksta3Char"/>
    <w:rsid w:val="005D3181"/>
    <w:rPr>
      <w:sz w:val="16"/>
      <w:szCs w:val="16"/>
      <w:lang w:val="en-US"/>
    </w:rPr>
  </w:style>
  <w:style w:type="character" w:customStyle="1" w:styleId="Tijeloteksta3Char">
    <w:name w:val="Tijelo teksta 3 Char"/>
    <w:link w:val="Tijeloteksta3"/>
    <w:rsid w:val="005D3181"/>
    <w:rPr>
      <w:rFonts w:ascii="Times New Roman" w:eastAsia="Times New Roman" w:hAnsi="Times New Roman" w:cs="Times New Roman"/>
      <w:sz w:val="16"/>
      <w:szCs w:val="16"/>
      <w:lang w:val="en-US"/>
    </w:rPr>
  </w:style>
  <w:style w:type="paragraph" w:styleId="Tijeloteksta2">
    <w:name w:val="Body Text 2"/>
    <w:basedOn w:val="Normal"/>
    <w:link w:val="Tijeloteksta2Char"/>
    <w:rsid w:val="005D3181"/>
    <w:rPr>
      <w:rFonts w:ascii="Tahoma" w:hAnsi="Tahoma"/>
      <w:b/>
      <w:i/>
      <w:szCs w:val="20"/>
    </w:rPr>
  </w:style>
  <w:style w:type="character" w:customStyle="1" w:styleId="Tijeloteksta2Char">
    <w:name w:val="Tijelo teksta 2 Char"/>
    <w:link w:val="Tijeloteksta2"/>
    <w:rsid w:val="005D3181"/>
    <w:rPr>
      <w:rFonts w:ascii="Tahoma" w:eastAsia="Times New Roman" w:hAnsi="Tahoma" w:cs="Tahoma"/>
      <w:b/>
      <w:i/>
      <w:sz w:val="24"/>
      <w:szCs w:val="20"/>
    </w:rPr>
  </w:style>
  <w:style w:type="paragraph" w:customStyle="1" w:styleId="clan">
    <w:name w:val="clan"/>
    <w:basedOn w:val="Normal"/>
    <w:rsid w:val="005D3181"/>
    <w:pPr>
      <w:spacing w:before="240"/>
      <w:jc w:val="center"/>
    </w:pPr>
    <w:rPr>
      <w:rFonts w:ascii="Arial" w:hAnsi="Arial" w:cs="Arial"/>
      <w:b/>
      <w:bCs/>
      <w:lang w:eastAsia="en-GB"/>
    </w:rPr>
  </w:style>
  <w:style w:type="paragraph" w:customStyle="1" w:styleId="110---naslov-clana">
    <w:name w:val="110---naslov-clana"/>
    <w:basedOn w:val="Normal"/>
    <w:rsid w:val="005D3181"/>
    <w:pPr>
      <w:spacing w:before="240" w:after="240"/>
      <w:jc w:val="center"/>
    </w:pPr>
    <w:rPr>
      <w:rFonts w:ascii="Arial" w:hAnsi="Arial" w:cs="Arial"/>
      <w:b/>
      <w:bCs/>
      <w:lang w:eastAsia="en-GB"/>
    </w:rPr>
  </w:style>
  <w:style w:type="paragraph" w:customStyle="1" w:styleId="CharCharCharChar0">
    <w:name w:val="Char Char Char Char"/>
    <w:basedOn w:val="Normal"/>
    <w:rsid w:val="005D3181"/>
    <w:pPr>
      <w:spacing w:after="160" w:line="240" w:lineRule="exact"/>
    </w:pPr>
    <w:rPr>
      <w:rFonts w:ascii="Tahoma" w:hAnsi="Tahoma"/>
      <w:sz w:val="20"/>
      <w:szCs w:val="20"/>
      <w:lang w:val="en-US" w:eastAsia="en-US"/>
    </w:rPr>
  </w:style>
  <w:style w:type="paragraph" w:customStyle="1" w:styleId="CharChar">
    <w:name w:val="Char Char"/>
    <w:basedOn w:val="Normal"/>
    <w:rsid w:val="005D3181"/>
    <w:pPr>
      <w:spacing w:after="160" w:line="240" w:lineRule="exact"/>
    </w:pPr>
    <w:rPr>
      <w:rFonts w:ascii="Tahoma" w:hAnsi="Tahoma"/>
      <w:sz w:val="20"/>
      <w:szCs w:val="20"/>
      <w:lang w:val="en-US" w:eastAsia="en-US"/>
    </w:rPr>
  </w:style>
  <w:style w:type="paragraph" w:customStyle="1" w:styleId="normaluvuceni">
    <w:name w:val="normal_uvuceni"/>
    <w:basedOn w:val="Normal"/>
    <w:rsid w:val="005D3181"/>
    <w:pPr>
      <w:spacing w:before="100" w:beforeAutospacing="1" w:after="100" w:afterAutospacing="1"/>
      <w:ind w:left="1134" w:hanging="142"/>
    </w:pPr>
    <w:rPr>
      <w:rFonts w:ascii="Arial" w:hAnsi="Arial" w:cs="Arial"/>
      <w:sz w:val="22"/>
      <w:szCs w:val="22"/>
      <w:lang w:val="en-US" w:eastAsia="en-US"/>
    </w:rPr>
  </w:style>
  <w:style w:type="paragraph" w:customStyle="1" w:styleId="CarCharCarCharCarCharCar">
    <w:name w:val="Car Char Car Char Car Char Car"/>
    <w:basedOn w:val="Normal"/>
    <w:rsid w:val="005D3181"/>
    <w:pPr>
      <w:spacing w:after="160" w:line="240" w:lineRule="exact"/>
    </w:pPr>
    <w:rPr>
      <w:rFonts w:ascii="Arial" w:hAnsi="Arial" w:cs="Arial"/>
      <w:sz w:val="20"/>
      <w:szCs w:val="20"/>
      <w:lang w:val="en-US" w:eastAsia="en-US"/>
    </w:rPr>
  </w:style>
  <w:style w:type="paragraph" w:customStyle="1" w:styleId="CharCharChar2Char">
    <w:name w:val="Char Char Char2 Char"/>
    <w:basedOn w:val="Normal"/>
    <w:rsid w:val="005D3181"/>
    <w:rPr>
      <w:lang w:val="en-GB" w:eastAsia="en-US"/>
    </w:rPr>
  </w:style>
  <w:style w:type="character" w:customStyle="1" w:styleId="hps">
    <w:name w:val="hps"/>
    <w:rsid w:val="005D3181"/>
  </w:style>
  <w:style w:type="character" w:customStyle="1" w:styleId="KartadokumentaChar">
    <w:name w:val="Karta dokumenta Char"/>
    <w:link w:val="Kartadokumenta"/>
    <w:semiHidden/>
    <w:rsid w:val="005D3181"/>
    <w:rPr>
      <w:rFonts w:ascii="Tahoma" w:eastAsia="Times New Roman" w:hAnsi="Tahoma" w:cs="Tahoma"/>
      <w:sz w:val="20"/>
      <w:szCs w:val="20"/>
      <w:shd w:val="clear" w:color="auto" w:fill="000080"/>
    </w:rPr>
  </w:style>
  <w:style w:type="paragraph" w:styleId="Kartadokumenta">
    <w:name w:val="Document Map"/>
    <w:basedOn w:val="Normal"/>
    <w:link w:val="KartadokumentaChar"/>
    <w:semiHidden/>
    <w:rsid w:val="005D3181"/>
    <w:pPr>
      <w:shd w:val="clear" w:color="auto" w:fill="000080"/>
    </w:pPr>
    <w:rPr>
      <w:rFonts w:ascii="Tahoma" w:hAnsi="Tahoma"/>
      <w:sz w:val="20"/>
      <w:szCs w:val="20"/>
    </w:rPr>
  </w:style>
  <w:style w:type="paragraph" w:customStyle="1" w:styleId="T-119sred">
    <w:name w:val="T-11/9 sred"/>
    <w:next w:val="Normal"/>
    <w:link w:val="T-119sredChar"/>
    <w:rsid w:val="005D3181"/>
    <w:pPr>
      <w:widowControl w:val="0"/>
      <w:autoSpaceDE w:val="0"/>
      <w:autoSpaceDN w:val="0"/>
      <w:adjustRightInd w:val="0"/>
      <w:spacing w:before="128" w:after="43"/>
      <w:jc w:val="center"/>
    </w:pPr>
    <w:rPr>
      <w:rFonts w:ascii="Times-NewRoman" w:hAnsi="Times-NewRoman"/>
      <w:sz w:val="23"/>
      <w:szCs w:val="23"/>
    </w:rPr>
  </w:style>
  <w:style w:type="character" w:customStyle="1" w:styleId="T-119sredChar">
    <w:name w:val="T-11/9 sred Char"/>
    <w:link w:val="T-119sred"/>
    <w:locked/>
    <w:rsid w:val="005D3181"/>
    <w:rPr>
      <w:rFonts w:ascii="Times-NewRoman" w:hAnsi="Times-NewRoman"/>
      <w:sz w:val="23"/>
      <w:szCs w:val="23"/>
      <w:lang w:val="hr-HR" w:eastAsia="hr-HR" w:bidi="ar-SA"/>
    </w:rPr>
  </w:style>
  <w:style w:type="table" w:styleId="Svijetlosjenanje-Isticanje4">
    <w:name w:val="Light Shading Accent 4"/>
    <w:basedOn w:val="Obinatablica"/>
    <w:uiPriority w:val="60"/>
    <w:rsid w:val="005D318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vijetlareetka-Isticanje4">
    <w:name w:val="Light Grid Accent 4"/>
    <w:basedOn w:val="Obinatablica"/>
    <w:uiPriority w:val="62"/>
    <w:rsid w:val="005D318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Reetkatablice">
    <w:name w:val="Table Grid"/>
    <w:basedOn w:val="Obinatablica"/>
    <w:uiPriority w:val="59"/>
    <w:rsid w:val="000D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05ptBold">
    <w:name w:val="Body text + 10;5 pt;Bold"/>
    <w:rsid w:val="007D17D2"/>
    <w:rPr>
      <w:rFonts w:ascii="Arial" w:eastAsia="Arial" w:hAnsi="Arial" w:cs="Arial"/>
      <w:b/>
      <w:bCs/>
      <w:i w:val="0"/>
      <w:iCs w:val="0"/>
      <w:smallCaps w:val="0"/>
      <w:strike w:val="0"/>
      <w:spacing w:val="0"/>
      <w:sz w:val="21"/>
      <w:szCs w:val="21"/>
      <w:shd w:val="clear" w:color="auto" w:fill="FFFFFF"/>
    </w:rPr>
  </w:style>
  <w:style w:type="paragraph" w:customStyle="1" w:styleId="Grupa1">
    <w:name w:val="Grupa 1"/>
    <w:basedOn w:val="Odlomakpopisa"/>
    <w:qFormat/>
    <w:rsid w:val="00481270"/>
    <w:pPr>
      <w:spacing w:before="360" w:after="360"/>
      <w:ind w:left="0"/>
      <w:contextualSpacing/>
    </w:pPr>
    <w:rPr>
      <w:rFonts w:ascii="Arial" w:hAnsi="Arial" w:cs="Arial"/>
      <w:bCs/>
      <w:i/>
      <w:sz w:val="21"/>
      <w:szCs w:val="21"/>
    </w:rPr>
  </w:style>
  <w:style w:type="paragraph" w:customStyle="1" w:styleId="Grupa2">
    <w:name w:val="Grupa 2"/>
    <w:basedOn w:val="Odlomakpopisa"/>
    <w:qFormat/>
    <w:rsid w:val="00481270"/>
    <w:pPr>
      <w:numPr>
        <w:numId w:val="4"/>
      </w:numPr>
      <w:spacing w:before="240"/>
      <w:ind w:left="709" w:hanging="709"/>
    </w:pPr>
    <w:rPr>
      <w:rFonts w:ascii="Arial" w:hAnsi="Arial" w:cs="Arial"/>
      <w:bCs/>
      <w:sz w:val="21"/>
      <w:szCs w:val="21"/>
    </w:rPr>
  </w:style>
  <w:style w:type="paragraph" w:styleId="Sadraj3">
    <w:name w:val="toc 3"/>
    <w:basedOn w:val="Sadraj2"/>
    <w:next w:val="Normal"/>
    <w:link w:val="Sadraj3Char"/>
    <w:autoRedefine/>
    <w:uiPriority w:val="39"/>
    <w:unhideWhenUsed/>
    <w:qFormat/>
    <w:rsid w:val="00C5522E"/>
    <w:pPr>
      <w:tabs>
        <w:tab w:val="clear" w:pos="1276"/>
      </w:tabs>
      <w:ind w:left="1418" w:hanging="652"/>
    </w:pPr>
  </w:style>
  <w:style w:type="paragraph" w:customStyle="1" w:styleId="clanak-">
    <w:name w:val="clanak-"/>
    <w:basedOn w:val="Normal"/>
    <w:uiPriority w:val="99"/>
    <w:rsid w:val="000220C9"/>
    <w:pPr>
      <w:spacing w:before="100" w:beforeAutospacing="1" w:after="100" w:afterAutospacing="1"/>
      <w:jc w:val="center"/>
    </w:pPr>
  </w:style>
  <w:style w:type="paragraph" w:customStyle="1" w:styleId="t-10-9-kurz-s">
    <w:name w:val="t-10-9-kurz-s"/>
    <w:basedOn w:val="Normal"/>
    <w:rsid w:val="000220C9"/>
    <w:pPr>
      <w:spacing w:before="100" w:beforeAutospacing="1" w:after="100" w:afterAutospacing="1"/>
      <w:jc w:val="center"/>
    </w:pPr>
    <w:rPr>
      <w:i/>
      <w:iCs/>
      <w:sz w:val="26"/>
      <w:szCs w:val="26"/>
    </w:rPr>
  </w:style>
  <w:style w:type="table" w:styleId="Srednjesjenanje2-Isticanje3">
    <w:name w:val="Medium Shading 2 Accent 3"/>
    <w:basedOn w:val="Obinatablica"/>
    <w:uiPriority w:val="64"/>
    <w:rsid w:val="00950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rednjesjenanje1-Isticanje6">
    <w:name w:val="Medium Shading 1 Accent 6"/>
    <w:basedOn w:val="Obinatablica"/>
    <w:uiPriority w:val="63"/>
    <w:rsid w:val="0095022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11">
    <w:name w:val="Light List - Accent 11"/>
    <w:basedOn w:val="Obinatablica"/>
    <w:uiPriority w:val="61"/>
    <w:rsid w:val="0095022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Obinatablica"/>
    <w:uiPriority w:val="63"/>
    <w:rsid w:val="00EB152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Obinitekst">
    <w:name w:val="Plain Text"/>
    <w:basedOn w:val="Normal"/>
    <w:link w:val="ObinitekstChar"/>
    <w:uiPriority w:val="99"/>
    <w:semiHidden/>
    <w:unhideWhenUsed/>
    <w:rsid w:val="00EB1523"/>
    <w:rPr>
      <w:rFonts w:ascii="Consolas" w:eastAsia="Calibri" w:hAnsi="Consolas"/>
      <w:sz w:val="21"/>
      <w:szCs w:val="21"/>
      <w:lang w:eastAsia="en-US"/>
    </w:rPr>
  </w:style>
  <w:style w:type="character" w:customStyle="1" w:styleId="ObinitekstChar">
    <w:name w:val="Obični tekst Char"/>
    <w:link w:val="Obinitekst"/>
    <w:uiPriority w:val="99"/>
    <w:semiHidden/>
    <w:rsid w:val="00EB1523"/>
    <w:rPr>
      <w:rFonts w:ascii="Consolas" w:eastAsia="Calibri" w:hAnsi="Consolas" w:cs="Times New Roman"/>
      <w:sz w:val="21"/>
      <w:szCs w:val="21"/>
      <w:lang w:eastAsia="en-US"/>
    </w:rPr>
  </w:style>
  <w:style w:type="table" w:customStyle="1" w:styleId="LightShading-Accent11">
    <w:name w:val="Light Shading - Accent 11"/>
    <w:basedOn w:val="Obinatablica"/>
    <w:uiPriority w:val="60"/>
    <w:rsid w:val="00816B8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ijetlosjenanje-Isticanje2">
    <w:name w:val="Light Shading Accent 2"/>
    <w:basedOn w:val="Obinatablica"/>
    <w:uiPriority w:val="60"/>
    <w:rsid w:val="002901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ongtext">
    <w:name w:val="long_text"/>
    <w:basedOn w:val="Zadanifontodlomka"/>
    <w:rsid w:val="00E21A01"/>
  </w:style>
  <w:style w:type="table" w:customStyle="1" w:styleId="LightGrid-Accent11">
    <w:name w:val="Light Grid - Accent 11"/>
    <w:basedOn w:val="Obinatablica"/>
    <w:uiPriority w:val="62"/>
    <w:rsid w:val="00A70D6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areetka1-Isticanje5">
    <w:name w:val="Medium Grid 1 Accent 5"/>
    <w:basedOn w:val="Obinatablica"/>
    <w:uiPriority w:val="67"/>
    <w:rsid w:val="000744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12">
    <w:name w:val="Light Shading - Accent 12"/>
    <w:basedOn w:val="Obinatablica"/>
    <w:uiPriority w:val="60"/>
    <w:rsid w:val="00BA69FB"/>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Zadanifontodlomka"/>
    <w:rsid w:val="00275D6B"/>
  </w:style>
  <w:style w:type="table" w:customStyle="1" w:styleId="LightShading-Accent13">
    <w:name w:val="Light Shading - Accent 13"/>
    <w:basedOn w:val="Obinatablica"/>
    <w:uiPriority w:val="60"/>
    <w:rsid w:val="00127251"/>
    <w:rPr>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Istaknuto">
    <w:name w:val="Emphasis"/>
    <w:uiPriority w:val="20"/>
    <w:qFormat/>
    <w:rsid w:val="007D6284"/>
    <w:rPr>
      <w:i/>
      <w:iCs/>
    </w:rPr>
  </w:style>
  <w:style w:type="paragraph" w:customStyle="1" w:styleId="js-tweet-text">
    <w:name w:val="js-tweet-text"/>
    <w:basedOn w:val="Normal"/>
    <w:rsid w:val="00774C72"/>
    <w:pPr>
      <w:spacing w:before="100" w:beforeAutospacing="1" w:after="100" w:afterAutospacing="1"/>
    </w:pPr>
  </w:style>
  <w:style w:type="paragraph" w:customStyle="1" w:styleId="yiv2717926743msonormal">
    <w:name w:val="yiv2717926743msonormal"/>
    <w:basedOn w:val="Normal"/>
    <w:rsid w:val="00B977E9"/>
    <w:pPr>
      <w:spacing w:before="100" w:beforeAutospacing="1" w:after="100" w:afterAutospacing="1"/>
    </w:pPr>
  </w:style>
  <w:style w:type="table" w:customStyle="1" w:styleId="LightShading-Accent14">
    <w:name w:val="Light Shading - Accent 14"/>
    <w:basedOn w:val="Obinatablica"/>
    <w:uiPriority w:val="60"/>
    <w:rsid w:val="00DA13F9"/>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5">
    <w:name w:val="Light Shading - Accent 15"/>
    <w:basedOn w:val="Obinatablica"/>
    <w:uiPriority w:val="60"/>
    <w:rsid w:val="00A85AEF"/>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6">
    <w:name w:val="Light Shading - Accent 16"/>
    <w:basedOn w:val="Obinatablica"/>
    <w:uiPriority w:val="60"/>
    <w:rsid w:val="00AA7DB2"/>
    <w:rPr>
      <w:rFonts w:eastAsia="Malgun Gothic"/>
      <w:color w:val="2E74B5"/>
      <w:sz w:val="22"/>
      <w:szCs w:val="22"/>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
    <w:name w:val="Light Shading - Accent 111"/>
    <w:basedOn w:val="Obinatablica"/>
    <w:uiPriority w:val="60"/>
    <w:rsid w:val="003D6845"/>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CharChar1">
    <w:name w:val="Char Char Char Char1"/>
    <w:basedOn w:val="Normal"/>
    <w:rsid w:val="00F135F1"/>
    <w:pPr>
      <w:spacing w:after="160" w:line="240" w:lineRule="exact"/>
    </w:pPr>
    <w:rPr>
      <w:rFonts w:ascii="Tahoma" w:hAnsi="Tahoma"/>
      <w:sz w:val="20"/>
      <w:szCs w:val="20"/>
      <w:lang w:val="en-US" w:eastAsia="en-US"/>
    </w:rPr>
  </w:style>
  <w:style w:type="paragraph" w:styleId="Tekstkomentara">
    <w:name w:val="annotation text"/>
    <w:basedOn w:val="Normal"/>
    <w:link w:val="TekstkomentaraChar"/>
    <w:uiPriority w:val="99"/>
    <w:unhideWhenUsed/>
    <w:rsid w:val="00993F70"/>
    <w:rPr>
      <w:sz w:val="20"/>
      <w:szCs w:val="20"/>
    </w:rPr>
  </w:style>
  <w:style w:type="character" w:customStyle="1" w:styleId="TekstkomentaraChar">
    <w:name w:val="Tekst komentara Char"/>
    <w:link w:val="Tekstkomentara"/>
    <w:uiPriority w:val="99"/>
    <w:rsid w:val="00993F70"/>
    <w:rPr>
      <w:rFonts w:ascii="Times New Roman" w:eastAsia="Times New Roman" w:hAnsi="Times New Roman"/>
    </w:rPr>
  </w:style>
  <w:style w:type="character" w:customStyle="1" w:styleId="PredmetkomentaraChar">
    <w:name w:val="Predmet komentara Char"/>
    <w:link w:val="Predmetkomentara"/>
    <w:uiPriority w:val="99"/>
    <w:semiHidden/>
    <w:rsid w:val="00993F70"/>
    <w:rPr>
      <w:rFonts w:ascii="Times New Roman" w:eastAsia="Times New Roman" w:hAnsi="Times New Roman"/>
      <w:b/>
      <w:bCs/>
    </w:rPr>
  </w:style>
  <w:style w:type="paragraph" w:styleId="Predmetkomentara">
    <w:name w:val="annotation subject"/>
    <w:basedOn w:val="Tekstkomentara"/>
    <w:next w:val="Tekstkomentara"/>
    <w:link w:val="PredmetkomentaraChar"/>
    <w:uiPriority w:val="99"/>
    <w:semiHidden/>
    <w:unhideWhenUsed/>
    <w:rsid w:val="00993F70"/>
    <w:rPr>
      <w:b/>
      <w:bCs/>
    </w:rPr>
  </w:style>
  <w:style w:type="table" w:customStyle="1" w:styleId="Svijetlosjenanje-Isticanje11">
    <w:name w:val="Svijetlo sjenčanje - Isticanje 11"/>
    <w:basedOn w:val="Obinatablica"/>
    <w:uiPriority w:val="60"/>
    <w:rsid w:val="00466D46"/>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infos">
    <w:name w:val="infos"/>
    <w:basedOn w:val="Zadanifontodlomka"/>
    <w:rsid w:val="006A5884"/>
  </w:style>
  <w:style w:type="table" w:customStyle="1" w:styleId="PlainTable11">
    <w:name w:val="Plain Table 11"/>
    <w:basedOn w:val="Obinatablica"/>
    <w:uiPriority w:val="41"/>
    <w:rsid w:val="00B52FF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454013">
    <w:name w:val="box_454013"/>
    <w:basedOn w:val="Normal"/>
    <w:rsid w:val="00B52FFD"/>
    <w:pPr>
      <w:spacing w:before="100" w:beforeAutospacing="1" w:after="100" w:afterAutospacing="1"/>
    </w:pPr>
  </w:style>
  <w:style w:type="table" w:customStyle="1" w:styleId="ListTable2-Accent11">
    <w:name w:val="List Table 2 - Accent 11"/>
    <w:basedOn w:val="Obinatablica"/>
    <w:uiPriority w:val="47"/>
    <w:rsid w:val="00595F32"/>
    <w:rPr>
      <w:rFonts w:asciiTheme="minorHAnsi" w:eastAsiaTheme="minorEastAsia" w:hAnsiTheme="minorHAnsi" w:cstheme="minorBidi"/>
      <w:sz w:val="22"/>
      <w:szCs w:val="22"/>
      <w:lang w:eastAsia="ko-KR"/>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Obinatablica"/>
    <w:uiPriority w:val="49"/>
    <w:rsid w:val="00595F32"/>
    <w:rPr>
      <w:sz w:val="22"/>
      <w:szCs w:val="22"/>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rednjareetka-Isticanje6">
    <w:name w:val="Light Grid Accent 6"/>
    <w:basedOn w:val="Obinatablica"/>
    <w:uiPriority w:val="62"/>
    <w:rsid w:val="00651724"/>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Shading-Accent17">
    <w:name w:val="Light Shading - Accent 17"/>
    <w:basedOn w:val="Obinatablica"/>
    <w:uiPriority w:val="60"/>
    <w:rsid w:val="00651724"/>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numbering" w:customStyle="1" w:styleId="Bezpopisa1">
    <w:name w:val="Bez popisa1"/>
    <w:next w:val="Bezpopisa"/>
    <w:uiPriority w:val="99"/>
    <w:semiHidden/>
    <w:unhideWhenUsed/>
    <w:rsid w:val="00651724"/>
  </w:style>
  <w:style w:type="character" w:styleId="Referencakomentara">
    <w:name w:val="annotation reference"/>
    <w:basedOn w:val="Zadanifontodlomka"/>
    <w:uiPriority w:val="99"/>
    <w:semiHidden/>
    <w:unhideWhenUsed/>
    <w:rsid w:val="00651724"/>
    <w:rPr>
      <w:sz w:val="16"/>
      <w:szCs w:val="16"/>
    </w:rPr>
  </w:style>
  <w:style w:type="table" w:customStyle="1" w:styleId="TableGridLight1">
    <w:name w:val="Table Grid Light1"/>
    <w:basedOn w:val="Obinatablica"/>
    <w:uiPriority w:val="40"/>
    <w:rsid w:val="0065172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osjenanje-Isticanje5">
    <w:name w:val="Light Shading Accent 5"/>
    <w:basedOn w:val="Obinatablica"/>
    <w:uiPriority w:val="60"/>
    <w:rsid w:val="00651724"/>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Revizija">
    <w:name w:val="Revision"/>
    <w:hidden/>
    <w:uiPriority w:val="99"/>
    <w:semiHidden/>
    <w:rsid w:val="00651724"/>
    <w:rPr>
      <w:rFonts w:ascii="Times New Roman" w:eastAsia="Times New Roman" w:hAnsi="Times New Roman"/>
      <w:sz w:val="24"/>
      <w:szCs w:val="24"/>
    </w:rPr>
  </w:style>
  <w:style w:type="table" w:customStyle="1" w:styleId="TableGridLight2">
    <w:name w:val="Table Grid Light2"/>
    <w:basedOn w:val="Obinatablica"/>
    <w:uiPriority w:val="40"/>
    <w:rsid w:val="0065172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Obinatablica"/>
    <w:uiPriority w:val="47"/>
    <w:rsid w:val="00651724"/>
    <w:rPr>
      <w:rFonts w:asciiTheme="minorHAnsi" w:eastAsiaTheme="minorHAnsi" w:hAnsiTheme="minorHAnsi" w:cstheme="minorBidi"/>
      <w:sz w:val="22"/>
      <w:szCs w:val="22"/>
      <w:lang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1">
    <w:name w:val="Grid Table 1 Light1"/>
    <w:basedOn w:val="Obinatablica"/>
    <w:uiPriority w:val="46"/>
    <w:rsid w:val="0065172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ezpopisa2">
    <w:name w:val="Bez popisa2"/>
    <w:next w:val="Bezpopisa"/>
    <w:uiPriority w:val="99"/>
    <w:semiHidden/>
    <w:unhideWhenUsed/>
    <w:rsid w:val="00651724"/>
  </w:style>
  <w:style w:type="character" w:customStyle="1" w:styleId="Nerijeenospominjanje1">
    <w:name w:val="Neriješeno spominjanje1"/>
    <w:basedOn w:val="Zadanifontodlomka"/>
    <w:uiPriority w:val="99"/>
    <w:semiHidden/>
    <w:unhideWhenUsed/>
    <w:rsid w:val="00651724"/>
    <w:rPr>
      <w:color w:val="605E5C"/>
      <w:shd w:val="clear" w:color="auto" w:fill="E1DFDD"/>
    </w:rPr>
  </w:style>
  <w:style w:type="table" w:customStyle="1" w:styleId="Tablicareetke4-isticanje11">
    <w:name w:val="Tablica rešetke 4 - isticanje 11"/>
    <w:basedOn w:val="Obinatablica"/>
    <w:uiPriority w:val="49"/>
    <w:rsid w:val="00651724"/>
    <w:rPr>
      <w:rFonts w:asciiTheme="minorHAnsi" w:eastAsia="Malgun Gothic" w:hAnsiTheme="minorHAnsi" w:cstheme="minorBidi"/>
      <w:sz w:val="22"/>
      <w:szCs w:val="22"/>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1">
    <w:name w:val="Unresolved Mention1"/>
    <w:basedOn w:val="Zadanifontodlomka"/>
    <w:uiPriority w:val="99"/>
    <w:semiHidden/>
    <w:unhideWhenUsed/>
    <w:rsid w:val="00651724"/>
    <w:rPr>
      <w:color w:val="605E5C"/>
      <w:shd w:val="clear" w:color="auto" w:fill="E1DFDD"/>
    </w:rPr>
  </w:style>
  <w:style w:type="table" w:customStyle="1" w:styleId="ListTable2-Accent111">
    <w:name w:val="List Table 2 - Accent 111"/>
    <w:basedOn w:val="Obinatablica"/>
    <w:uiPriority w:val="47"/>
    <w:rsid w:val="00651724"/>
    <w:rPr>
      <w:rFonts w:asciiTheme="minorHAnsi" w:eastAsia="Malgun Gothic" w:hAnsiTheme="minorHAnsi" w:cstheme="minorBidi"/>
      <w:sz w:val="22"/>
      <w:szCs w:val="22"/>
      <w:lang w:eastAsia="ko-KR"/>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nresolvedMention2">
    <w:name w:val="Unresolved Mention2"/>
    <w:basedOn w:val="Zadanifontodlomka"/>
    <w:uiPriority w:val="99"/>
    <w:semiHidden/>
    <w:unhideWhenUsed/>
    <w:rsid w:val="005B7527"/>
    <w:rPr>
      <w:color w:val="605E5C"/>
      <w:shd w:val="clear" w:color="auto" w:fill="E1DFDD"/>
    </w:rPr>
  </w:style>
  <w:style w:type="paragraph" w:customStyle="1" w:styleId="Style1">
    <w:name w:val="Style1"/>
    <w:basedOn w:val="Sadraj1"/>
    <w:link w:val="Style1Char"/>
    <w:qFormat/>
    <w:rsid w:val="007F5426"/>
    <w:rPr>
      <w:kern w:val="23"/>
    </w:rPr>
  </w:style>
  <w:style w:type="character" w:customStyle="1" w:styleId="Sadraj2Char">
    <w:name w:val="Sadržaj 2 Char"/>
    <w:basedOn w:val="Zadanifontodlomka"/>
    <w:link w:val="Sadraj2"/>
    <w:uiPriority w:val="39"/>
    <w:rsid w:val="00D130B8"/>
    <w:rPr>
      <w:rFonts w:ascii="Gill Sans MT" w:eastAsia="Times New Roman" w:hAnsi="Gill Sans MT"/>
      <w:noProof/>
      <w:szCs w:val="24"/>
    </w:rPr>
  </w:style>
  <w:style w:type="character" w:customStyle="1" w:styleId="Sadraj1Char">
    <w:name w:val="Sadržaj 1 Char"/>
    <w:basedOn w:val="Zadanifontodlomka"/>
    <w:link w:val="Sadraj1"/>
    <w:uiPriority w:val="39"/>
    <w:rsid w:val="0076418D"/>
    <w:rPr>
      <w:rFonts w:ascii="Gill Sans MT" w:eastAsia="Times New Roman" w:hAnsi="Gill Sans MT"/>
      <w:b/>
      <w:noProof/>
      <w:sz w:val="23"/>
      <w:szCs w:val="23"/>
    </w:rPr>
  </w:style>
  <w:style w:type="character" w:customStyle="1" w:styleId="Style1Char">
    <w:name w:val="Style1 Char"/>
    <w:basedOn w:val="Sadraj1Char"/>
    <w:link w:val="Style1"/>
    <w:rsid w:val="007F5426"/>
    <w:rPr>
      <w:rFonts w:ascii="Gill Sans MT" w:eastAsia="Times New Roman" w:hAnsi="Gill Sans MT"/>
      <w:b/>
      <w:noProof/>
      <w:kern w:val="23"/>
      <w:sz w:val="23"/>
      <w:szCs w:val="23"/>
    </w:rPr>
  </w:style>
  <w:style w:type="character" w:customStyle="1" w:styleId="Sadraj3Char">
    <w:name w:val="Sadržaj 3 Char"/>
    <w:basedOn w:val="Sadraj2Char"/>
    <w:link w:val="Sadraj3"/>
    <w:uiPriority w:val="39"/>
    <w:rsid w:val="00C5522E"/>
    <w:rPr>
      <w:rFonts w:ascii="Gill Sans MT" w:eastAsia="Times New Roman" w:hAnsi="Gill Sans MT"/>
      <w:noProof/>
      <w:szCs w:val="24"/>
    </w:rPr>
  </w:style>
  <w:style w:type="paragraph" w:styleId="Sadraj4">
    <w:name w:val="toc 4"/>
    <w:basedOn w:val="Sadraj3"/>
    <w:next w:val="Normal"/>
    <w:autoRedefine/>
    <w:uiPriority w:val="39"/>
    <w:unhideWhenUsed/>
    <w:rsid w:val="001502CA"/>
    <w:pPr>
      <w:tabs>
        <w:tab w:val="clear" w:pos="9062"/>
        <w:tab w:val="left" w:pos="1928"/>
        <w:tab w:val="right" w:leader="dot" w:pos="9061"/>
      </w:tabs>
      <w:ind w:left="1757"/>
    </w:pPr>
  </w:style>
  <w:style w:type="character" w:customStyle="1" w:styleId="UnresolvedMention3">
    <w:name w:val="Unresolved Mention3"/>
    <w:basedOn w:val="Zadanifontodlomka"/>
    <w:uiPriority w:val="99"/>
    <w:semiHidden/>
    <w:unhideWhenUsed/>
    <w:rsid w:val="00C02C9E"/>
    <w:rPr>
      <w:color w:val="605E5C"/>
      <w:shd w:val="clear" w:color="auto" w:fill="E1DFDD"/>
    </w:rPr>
  </w:style>
  <w:style w:type="paragraph" w:customStyle="1" w:styleId="Glava">
    <w:name w:val="Glava"/>
    <w:basedOn w:val="Normal"/>
    <w:next w:val="Naslov1"/>
    <w:link w:val="GlavaChar"/>
    <w:qFormat/>
    <w:rsid w:val="006A077A"/>
    <w:pPr>
      <w:numPr>
        <w:numId w:val="15"/>
      </w:numPr>
      <w:tabs>
        <w:tab w:val="left" w:pos="425"/>
      </w:tabs>
      <w:spacing w:before="480" w:after="480"/>
      <w:ind w:left="0" w:firstLine="0"/>
    </w:pPr>
    <w:rPr>
      <w:b/>
      <w:sz w:val="28"/>
    </w:rPr>
  </w:style>
  <w:style w:type="character" w:customStyle="1" w:styleId="KartadokumentaChar1">
    <w:name w:val="Karta dokumenta Char1"/>
    <w:basedOn w:val="Zadanifontodlomka"/>
    <w:uiPriority w:val="99"/>
    <w:semiHidden/>
    <w:rsid w:val="005307B5"/>
    <w:rPr>
      <w:rFonts w:ascii="Segoe UI" w:eastAsia="Times New Roman" w:hAnsi="Segoe UI" w:cs="Segoe UI"/>
      <w:sz w:val="16"/>
      <w:szCs w:val="16"/>
      <w:lang w:eastAsia="hr-HR"/>
    </w:rPr>
  </w:style>
  <w:style w:type="character" w:customStyle="1" w:styleId="GlavaChar">
    <w:name w:val="Glava Char"/>
    <w:basedOn w:val="Naslov1Char"/>
    <w:link w:val="Glava"/>
    <w:rsid w:val="006A077A"/>
    <w:rPr>
      <w:rFonts w:ascii="Gill Sans MT" w:eastAsia="Times New Roman" w:hAnsi="Gill Sans MT"/>
      <w:b/>
      <w:bCs w:val="0"/>
      <w:kern w:val="32"/>
      <w:sz w:val="28"/>
      <w:szCs w:val="24"/>
    </w:rPr>
  </w:style>
  <w:style w:type="character" w:customStyle="1" w:styleId="DocumentMapChar1">
    <w:name w:val="Document Map Char1"/>
    <w:basedOn w:val="Zadanifontodlomka"/>
    <w:uiPriority w:val="99"/>
    <w:semiHidden/>
    <w:rsid w:val="005307B5"/>
    <w:rPr>
      <w:rFonts w:ascii="Segoe UI" w:eastAsia="Times New Roman" w:hAnsi="Segoe UI" w:cs="Segoe UI"/>
      <w:sz w:val="16"/>
      <w:szCs w:val="16"/>
      <w:lang w:eastAsia="hr-HR"/>
    </w:rPr>
  </w:style>
  <w:style w:type="character" w:customStyle="1" w:styleId="PredmetkomentaraChar1">
    <w:name w:val="Predmet komentara Char1"/>
    <w:basedOn w:val="TekstkomentaraChar"/>
    <w:uiPriority w:val="99"/>
    <w:semiHidden/>
    <w:rsid w:val="005307B5"/>
    <w:rPr>
      <w:rFonts w:ascii="Times New Roman" w:eastAsia="Times New Roman" w:hAnsi="Times New Roman"/>
      <w:b/>
      <w:bCs/>
      <w:sz w:val="20"/>
      <w:szCs w:val="20"/>
      <w:lang w:eastAsia="hr-HR"/>
    </w:rPr>
  </w:style>
  <w:style w:type="character" w:customStyle="1" w:styleId="CommentSubjectChar1">
    <w:name w:val="Comment Subject Char1"/>
    <w:basedOn w:val="TekstkomentaraChar"/>
    <w:uiPriority w:val="99"/>
    <w:semiHidden/>
    <w:rsid w:val="005307B5"/>
    <w:rPr>
      <w:rFonts w:ascii="Times New Roman" w:eastAsia="Times New Roman" w:hAnsi="Times New Roman" w:cs="Times New Roman"/>
      <w:b/>
      <w:bCs/>
      <w:sz w:val="20"/>
      <w:szCs w:val="20"/>
      <w:lang w:eastAsia="hr-HR"/>
    </w:rPr>
  </w:style>
  <w:style w:type="character" w:customStyle="1" w:styleId="Nerijeenospominjanje2">
    <w:name w:val="Neriješeno spominjanje2"/>
    <w:basedOn w:val="Zadanifontodlomka"/>
    <w:uiPriority w:val="99"/>
    <w:semiHidden/>
    <w:unhideWhenUsed/>
    <w:rsid w:val="005307B5"/>
    <w:rPr>
      <w:color w:val="605E5C"/>
      <w:shd w:val="clear" w:color="auto" w:fill="E1DFDD"/>
    </w:rPr>
  </w:style>
  <w:style w:type="character" w:customStyle="1" w:styleId="OdlomakpopisaChar">
    <w:name w:val="Odlomak popisa Char"/>
    <w:link w:val="Odlomakpopisa"/>
    <w:uiPriority w:val="34"/>
    <w:locked/>
    <w:rsid w:val="005307B5"/>
    <w:rPr>
      <w:rFonts w:ascii="Arial Narrow" w:eastAsia="Times New Roman" w:hAnsi="Arial Narrow"/>
      <w:sz w:val="22"/>
      <w:szCs w:val="24"/>
    </w:rPr>
  </w:style>
  <w:style w:type="table" w:styleId="Svijetlosjenanje-Isticanje1">
    <w:name w:val="Light Shading Accent 1"/>
    <w:basedOn w:val="Obinatablica"/>
    <w:uiPriority w:val="60"/>
    <w:rsid w:val="005307B5"/>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icareetke4-isticanje12">
    <w:name w:val="Tablica rešetke 4 - isticanje 12"/>
    <w:basedOn w:val="Obinatablica"/>
    <w:uiPriority w:val="49"/>
    <w:rsid w:val="005307B5"/>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4-isticanje111">
    <w:name w:val="Tablica rešetke 4 - isticanje 111"/>
    <w:basedOn w:val="Obinatablica"/>
    <w:uiPriority w:val="49"/>
    <w:rsid w:val="005307B5"/>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rijeenospominjanje3">
    <w:name w:val="Neriješeno spominjanje3"/>
    <w:basedOn w:val="Zadanifontodlomka"/>
    <w:uiPriority w:val="99"/>
    <w:semiHidden/>
    <w:unhideWhenUsed/>
    <w:rsid w:val="005307B5"/>
    <w:rPr>
      <w:color w:val="605E5C"/>
      <w:shd w:val="clear" w:color="auto" w:fill="E1DFDD"/>
    </w:rPr>
  </w:style>
  <w:style w:type="character" w:customStyle="1" w:styleId="Nerijeenospominjanje4">
    <w:name w:val="Neriješeno spominjanje4"/>
    <w:basedOn w:val="Zadanifontodlomka"/>
    <w:uiPriority w:val="99"/>
    <w:semiHidden/>
    <w:unhideWhenUsed/>
    <w:rsid w:val="005307B5"/>
    <w:rPr>
      <w:color w:val="605E5C"/>
      <w:shd w:val="clear" w:color="auto" w:fill="E1DFDD"/>
    </w:rPr>
  </w:style>
  <w:style w:type="paragraph" w:styleId="Sadraj5">
    <w:name w:val="toc 5"/>
    <w:basedOn w:val="Normal"/>
    <w:next w:val="Normal"/>
    <w:autoRedefine/>
    <w:uiPriority w:val="39"/>
    <w:unhideWhenUsed/>
    <w:rsid w:val="00721250"/>
    <w:pPr>
      <w:spacing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721250"/>
    <w:pPr>
      <w:spacing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721250"/>
    <w:pPr>
      <w:spacing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721250"/>
    <w:pPr>
      <w:spacing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721250"/>
    <w:pPr>
      <w:spacing w:after="100" w:line="259" w:lineRule="auto"/>
      <w:ind w:left="1760"/>
    </w:pPr>
    <w:rPr>
      <w:rFonts w:asciiTheme="minorHAnsi" w:eastAsiaTheme="minorEastAsia" w:hAnsiTheme="minorHAnsi" w:cstheme="minorBidi"/>
      <w:sz w:val="22"/>
      <w:szCs w:val="22"/>
    </w:rPr>
  </w:style>
  <w:style w:type="character" w:styleId="Nerijeenospominjanje">
    <w:name w:val="Unresolved Mention"/>
    <w:basedOn w:val="Zadanifontodlomka"/>
    <w:uiPriority w:val="99"/>
    <w:semiHidden/>
    <w:unhideWhenUsed/>
    <w:rsid w:val="00721250"/>
    <w:rPr>
      <w:color w:val="605E5C"/>
      <w:shd w:val="clear" w:color="auto" w:fill="E1DFDD"/>
    </w:rPr>
  </w:style>
  <w:style w:type="table" w:customStyle="1" w:styleId="Tablicareetke4-isticanje13">
    <w:name w:val="Tablica rešetke 4 - isticanje 13"/>
    <w:basedOn w:val="Obinatablica"/>
    <w:uiPriority w:val="49"/>
    <w:rsid w:val="00E56388"/>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5302">
      <w:bodyDiv w:val="1"/>
      <w:marLeft w:val="0"/>
      <w:marRight w:val="0"/>
      <w:marTop w:val="0"/>
      <w:marBottom w:val="0"/>
      <w:divBdr>
        <w:top w:val="none" w:sz="0" w:space="0" w:color="auto"/>
        <w:left w:val="none" w:sz="0" w:space="0" w:color="auto"/>
        <w:bottom w:val="none" w:sz="0" w:space="0" w:color="auto"/>
        <w:right w:val="none" w:sz="0" w:space="0" w:color="auto"/>
      </w:divBdr>
    </w:div>
    <w:div w:id="56978394">
      <w:bodyDiv w:val="1"/>
      <w:marLeft w:val="0"/>
      <w:marRight w:val="0"/>
      <w:marTop w:val="0"/>
      <w:marBottom w:val="0"/>
      <w:divBdr>
        <w:top w:val="none" w:sz="0" w:space="0" w:color="auto"/>
        <w:left w:val="none" w:sz="0" w:space="0" w:color="auto"/>
        <w:bottom w:val="none" w:sz="0" w:space="0" w:color="auto"/>
        <w:right w:val="none" w:sz="0" w:space="0" w:color="auto"/>
      </w:divBdr>
    </w:div>
    <w:div w:id="82535856">
      <w:bodyDiv w:val="1"/>
      <w:marLeft w:val="0"/>
      <w:marRight w:val="0"/>
      <w:marTop w:val="0"/>
      <w:marBottom w:val="0"/>
      <w:divBdr>
        <w:top w:val="none" w:sz="0" w:space="0" w:color="auto"/>
        <w:left w:val="none" w:sz="0" w:space="0" w:color="auto"/>
        <w:bottom w:val="none" w:sz="0" w:space="0" w:color="auto"/>
        <w:right w:val="none" w:sz="0" w:space="0" w:color="auto"/>
      </w:divBdr>
    </w:div>
    <w:div w:id="120273671">
      <w:bodyDiv w:val="1"/>
      <w:marLeft w:val="0"/>
      <w:marRight w:val="0"/>
      <w:marTop w:val="0"/>
      <w:marBottom w:val="0"/>
      <w:divBdr>
        <w:top w:val="none" w:sz="0" w:space="0" w:color="auto"/>
        <w:left w:val="none" w:sz="0" w:space="0" w:color="auto"/>
        <w:bottom w:val="none" w:sz="0" w:space="0" w:color="auto"/>
        <w:right w:val="none" w:sz="0" w:space="0" w:color="auto"/>
      </w:divBdr>
    </w:div>
    <w:div w:id="126901562">
      <w:bodyDiv w:val="1"/>
      <w:marLeft w:val="0"/>
      <w:marRight w:val="0"/>
      <w:marTop w:val="0"/>
      <w:marBottom w:val="0"/>
      <w:divBdr>
        <w:top w:val="none" w:sz="0" w:space="0" w:color="auto"/>
        <w:left w:val="none" w:sz="0" w:space="0" w:color="auto"/>
        <w:bottom w:val="none" w:sz="0" w:space="0" w:color="auto"/>
        <w:right w:val="none" w:sz="0" w:space="0" w:color="auto"/>
      </w:divBdr>
    </w:div>
    <w:div w:id="153229827">
      <w:bodyDiv w:val="1"/>
      <w:marLeft w:val="0"/>
      <w:marRight w:val="0"/>
      <w:marTop w:val="0"/>
      <w:marBottom w:val="0"/>
      <w:divBdr>
        <w:top w:val="none" w:sz="0" w:space="0" w:color="auto"/>
        <w:left w:val="none" w:sz="0" w:space="0" w:color="auto"/>
        <w:bottom w:val="none" w:sz="0" w:space="0" w:color="auto"/>
        <w:right w:val="none" w:sz="0" w:space="0" w:color="auto"/>
      </w:divBdr>
    </w:div>
    <w:div w:id="177544097">
      <w:bodyDiv w:val="1"/>
      <w:marLeft w:val="0"/>
      <w:marRight w:val="0"/>
      <w:marTop w:val="0"/>
      <w:marBottom w:val="0"/>
      <w:divBdr>
        <w:top w:val="none" w:sz="0" w:space="0" w:color="auto"/>
        <w:left w:val="none" w:sz="0" w:space="0" w:color="auto"/>
        <w:bottom w:val="none" w:sz="0" w:space="0" w:color="auto"/>
        <w:right w:val="none" w:sz="0" w:space="0" w:color="auto"/>
      </w:divBdr>
    </w:div>
    <w:div w:id="239143258">
      <w:bodyDiv w:val="1"/>
      <w:marLeft w:val="0"/>
      <w:marRight w:val="0"/>
      <w:marTop w:val="0"/>
      <w:marBottom w:val="0"/>
      <w:divBdr>
        <w:top w:val="none" w:sz="0" w:space="0" w:color="auto"/>
        <w:left w:val="none" w:sz="0" w:space="0" w:color="auto"/>
        <w:bottom w:val="none" w:sz="0" w:space="0" w:color="auto"/>
        <w:right w:val="none" w:sz="0" w:space="0" w:color="auto"/>
      </w:divBdr>
    </w:div>
    <w:div w:id="267129303">
      <w:bodyDiv w:val="1"/>
      <w:marLeft w:val="0"/>
      <w:marRight w:val="0"/>
      <w:marTop w:val="0"/>
      <w:marBottom w:val="0"/>
      <w:divBdr>
        <w:top w:val="none" w:sz="0" w:space="0" w:color="auto"/>
        <w:left w:val="none" w:sz="0" w:space="0" w:color="auto"/>
        <w:bottom w:val="none" w:sz="0" w:space="0" w:color="auto"/>
        <w:right w:val="none" w:sz="0" w:space="0" w:color="auto"/>
      </w:divBdr>
    </w:div>
    <w:div w:id="284312270">
      <w:bodyDiv w:val="1"/>
      <w:marLeft w:val="0"/>
      <w:marRight w:val="0"/>
      <w:marTop w:val="0"/>
      <w:marBottom w:val="0"/>
      <w:divBdr>
        <w:top w:val="none" w:sz="0" w:space="0" w:color="auto"/>
        <w:left w:val="none" w:sz="0" w:space="0" w:color="auto"/>
        <w:bottom w:val="none" w:sz="0" w:space="0" w:color="auto"/>
        <w:right w:val="none" w:sz="0" w:space="0" w:color="auto"/>
      </w:divBdr>
    </w:div>
    <w:div w:id="304816472">
      <w:bodyDiv w:val="1"/>
      <w:marLeft w:val="0"/>
      <w:marRight w:val="0"/>
      <w:marTop w:val="0"/>
      <w:marBottom w:val="0"/>
      <w:divBdr>
        <w:top w:val="none" w:sz="0" w:space="0" w:color="auto"/>
        <w:left w:val="none" w:sz="0" w:space="0" w:color="auto"/>
        <w:bottom w:val="none" w:sz="0" w:space="0" w:color="auto"/>
        <w:right w:val="none" w:sz="0" w:space="0" w:color="auto"/>
      </w:divBdr>
    </w:div>
    <w:div w:id="337580648">
      <w:bodyDiv w:val="1"/>
      <w:marLeft w:val="0"/>
      <w:marRight w:val="0"/>
      <w:marTop w:val="0"/>
      <w:marBottom w:val="0"/>
      <w:divBdr>
        <w:top w:val="none" w:sz="0" w:space="0" w:color="auto"/>
        <w:left w:val="none" w:sz="0" w:space="0" w:color="auto"/>
        <w:bottom w:val="none" w:sz="0" w:space="0" w:color="auto"/>
        <w:right w:val="none" w:sz="0" w:space="0" w:color="auto"/>
      </w:divBdr>
    </w:div>
    <w:div w:id="352341289">
      <w:bodyDiv w:val="1"/>
      <w:marLeft w:val="0"/>
      <w:marRight w:val="0"/>
      <w:marTop w:val="0"/>
      <w:marBottom w:val="0"/>
      <w:divBdr>
        <w:top w:val="none" w:sz="0" w:space="0" w:color="auto"/>
        <w:left w:val="none" w:sz="0" w:space="0" w:color="auto"/>
        <w:bottom w:val="none" w:sz="0" w:space="0" w:color="auto"/>
        <w:right w:val="none" w:sz="0" w:space="0" w:color="auto"/>
      </w:divBdr>
    </w:div>
    <w:div w:id="367997869">
      <w:bodyDiv w:val="1"/>
      <w:marLeft w:val="0"/>
      <w:marRight w:val="0"/>
      <w:marTop w:val="0"/>
      <w:marBottom w:val="0"/>
      <w:divBdr>
        <w:top w:val="none" w:sz="0" w:space="0" w:color="auto"/>
        <w:left w:val="none" w:sz="0" w:space="0" w:color="auto"/>
        <w:bottom w:val="none" w:sz="0" w:space="0" w:color="auto"/>
        <w:right w:val="none" w:sz="0" w:space="0" w:color="auto"/>
      </w:divBdr>
    </w:div>
    <w:div w:id="372390229">
      <w:bodyDiv w:val="1"/>
      <w:marLeft w:val="0"/>
      <w:marRight w:val="0"/>
      <w:marTop w:val="0"/>
      <w:marBottom w:val="0"/>
      <w:divBdr>
        <w:top w:val="none" w:sz="0" w:space="0" w:color="auto"/>
        <w:left w:val="none" w:sz="0" w:space="0" w:color="auto"/>
        <w:bottom w:val="none" w:sz="0" w:space="0" w:color="auto"/>
        <w:right w:val="none" w:sz="0" w:space="0" w:color="auto"/>
      </w:divBdr>
    </w:div>
    <w:div w:id="375280668">
      <w:bodyDiv w:val="1"/>
      <w:marLeft w:val="0"/>
      <w:marRight w:val="0"/>
      <w:marTop w:val="0"/>
      <w:marBottom w:val="0"/>
      <w:divBdr>
        <w:top w:val="none" w:sz="0" w:space="0" w:color="auto"/>
        <w:left w:val="none" w:sz="0" w:space="0" w:color="auto"/>
        <w:bottom w:val="none" w:sz="0" w:space="0" w:color="auto"/>
        <w:right w:val="none" w:sz="0" w:space="0" w:color="auto"/>
      </w:divBdr>
    </w:div>
    <w:div w:id="379403530">
      <w:bodyDiv w:val="1"/>
      <w:marLeft w:val="0"/>
      <w:marRight w:val="0"/>
      <w:marTop w:val="0"/>
      <w:marBottom w:val="0"/>
      <w:divBdr>
        <w:top w:val="none" w:sz="0" w:space="0" w:color="auto"/>
        <w:left w:val="none" w:sz="0" w:space="0" w:color="auto"/>
        <w:bottom w:val="none" w:sz="0" w:space="0" w:color="auto"/>
        <w:right w:val="none" w:sz="0" w:space="0" w:color="auto"/>
      </w:divBdr>
    </w:div>
    <w:div w:id="454447673">
      <w:bodyDiv w:val="1"/>
      <w:marLeft w:val="0"/>
      <w:marRight w:val="0"/>
      <w:marTop w:val="0"/>
      <w:marBottom w:val="0"/>
      <w:divBdr>
        <w:top w:val="none" w:sz="0" w:space="0" w:color="auto"/>
        <w:left w:val="none" w:sz="0" w:space="0" w:color="auto"/>
        <w:bottom w:val="none" w:sz="0" w:space="0" w:color="auto"/>
        <w:right w:val="none" w:sz="0" w:space="0" w:color="auto"/>
      </w:divBdr>
    </w:div>
    <w:div w:id="480539643">
      <w:bodyDiv w:val="1"/>
      <w:marLeft w:val="0"/>
      <w:marRight w:val="0"/>
      <w:marTop w:val="0"/>
      <w:marBottom w:val="0"/>
      <w:divBdr>
        <w:top w:val="none" w:sz="0" w:space="0" w:color="auto"/>
        <w:left w:val="none" w:sz="0" w:space="0" w:color="auto"/>
        <w:bottom w:val="none" w:sz="0" w:space="0" w:color="auto"/>
        <w:right w:val="none" w:sz="0" w:space="0" w:color="auto"/>
      </w:divBdr>
    </w:div>
    <w:div w:id="501743887">
      <w:bodyDiv w:val="1"/>
      <w:marLeft w:val="0"/>
      <w:marRight w:val="0"/>
      <w:marTop w:val="0"/>
      <w:marBottom w:val="0"/>
      <w:divBdr>
        <w:top w:val="none" w:sz="0" w:space="0" w:color="auto"/>
        <w:left w:val="none" w:sz="0" w:space="0" w:color="auto"/>
        <w:bottom w:val="none" w:sz="0" w:space="0" w:color="auto"/>
        <w:right w:val="none" w:sz="0" w:space="0" w:color="auto"/>
      </w:divBdr>
    </w:div>
    <w:div w:id="507334661">
      <w:bodyDiv w:val="1"/>
      <w:marLeft w:val="0"/>
      <w:marRight w:val="0"/>
      <w:marTop w:val="0"/>
      <w:marBottom w:val="0"/>
      <w:divBdr>
        <w:top w:val="none" w:sz="0" w:space="0" w:color="auto"/>
        <w:left w:val="none" w:sz="0" w:space="0" w:color="auto"/>
        <w:bottom w:val="none" w:sz="0" w:space="0" w:color="auto"/>
        <w:right w:val="none" w:sz="0" w:space="0" w:color="auto"/>
      </w:divBdr>
    </w:div>
    <w:div w:id="521629709">
      <w:bodyDiv w:val="1"/>
      <w:marLeft w:val="0"/>
      <w:marRight w:val="0"/>
      <w:marTop w:val="0"/>
      <w:marBottom w:val="0"/>
      <w:divBdr>
        <w:top w:val="none" w:sz="0" w:space="0" w:color="auto"/>
        <w:left w:val="none" w:sz="0" w:space="0" w:color="auto"/>
        <w:bottom w:val="none" w:sz="0" w:space="0" w:color="auto"/>
        <w:right w:val="none" w:sz="0" w:space="0" w:color="auto"/>
      </w:divBdr>
    </w:div>
    <w:div w:id="597524446">
      <w:bodyDiv w:val="1"/>
      <w:marLeft w:val="0"/>
      <w:marRight w:val="0"/>
      <w:marTop w:val="0"/>
      <w:marBottom w:val="0"/>
      <w:divBdr>
        <w:top w:val="none" w:sz="0" w:space="0" w:color="auto"/>
        <w:left w:val="none" w:sz="0" w:space="0" w:color="auto"/>
        <w:bottom w:val="none" w:sz="0" w:space="0" w:color="auto"/>
        <w:right w:val="none" w:sz="0" w:space="0" w:color="auto"/>
      </w:divBdr>
    </w:div>
    <w:div w:id="617756147">
      <w:bodyDiv w:val="1"/>
      <w:marLeft w:val="0"/>
      <w:marRight w:val="0"/>
      <w:marTop w:val="0"/>
      <w:marBottom w:val="0"/>
      <w:divBdr>
        <w:top w:val="none" w:sz="0" w:space="0" w:color="auto"/>
        <w:left w:val="none" w:sz="0" w:space="0" w:color="auto"/>
        <w:bottom w:val="none" w:sz="0" w:space="0" w:color="auto"/>
        <w:right w:val="none" w:sz="0" w:space="0" w:color="auto"/>
      </w:divBdr>
    </w:div>
    <w:div w:id="624428345">
      <w:bodyDiv w:val="1"/>
      <w:marLeft w:val="0"/>
      <w:marRight w:val="0"/>
      <w:marTop w:val="0"/>
      <w:marBottom w:val="0"/>
      <w:divBdr>
        <w:top w:val="none" w:sz="0" w:space="0" w:color="auto"/>
        <w:left w:val="none" w:sz="0" w:space="0" w:color="auto"/>
        <w:bottom w:val="none" w:sz="0" w:space="0" w:color="auto"/>
        <w:right w:val="none" w:sz="0" w:space="0" w:color="auto"/>
      </w:divBdr>
    </w:div>
    <w:div w:id="633677067">
      <w:bodyDiv w:val="1"/>
      <w:marLeft w:val="0"/>
      <w:marRight w:val="0"/>
      <w:marTop w:val="0"/>
      <w:marBottom w:val="0"/>
      <w:divBdr>
        <w:top w:val="none" w:sz="0" w:space="0" w:color="auto"/>
        <w:left w:val="none" w:sz="0" w:space="0" w:color="auto"/>
        <w:bottom w:val="none" w:sz="0" w:space="0" w:color="auto"/>
        <w:right w:val="none" w:sz="0" w:space="0" w:color="auto"/>
      </w:divBdr>
    </w:div>
    <w:div w:id="677662483">
      <w:bodyDiv w:val="1"/>
      <w:marLeft w:val="0"/>
      <w:marRight w:val="0"/>
      <w:marTop w:val="0"/>
      <w:marBottom w:val="0"/>
      <w:divBdr>
        <w:top w:val="none" w:sz="0" w:space="0" w:color="auto"/>
        <w:left w:val="none" w:sz="0" w:space="0" w:color="auto"/>
        <w:bottom w:val="none" w:sz="0" w:space="0" w:color="auto"/>
        <w:right w:val="none" w:sz="0" w:space="0" w:color="auto"/>
      </w:divBdr>
    </w:div>
    <w:div w:id="689143406">
      <w:bodyDiv w:val="1"/>
      <w:marLeft w:val="0"/>
      <w:marRight w:val="0"/>
      <w:marTop w:val="0"/>
      <w:marBottom w:val="0"/>
      <w:divBdr>
        <w:top w:val="none" w:sz="0" w:space="0" w:color="auto"/>
        <w:left w:val="none" w:sz="0" w:space="0" w:color="auto"/>
        <w:bottom w:val="none" w:sz="0" w:space="0" w:color="auto"/>
        <w:right w:val="none" w:sz="0" w:space="0" w:color="auto"/>
      </w:divBdr>
    </w:div>
    <w:div w:id="737436169">
      <w:bodyDiv w:val="1"/>
      <w:marLeft w:val="0"/>
      <w:marRight w:val="0"/>
      <w:marTop w:val="0"/>
      <w:marBottom w:val="0"/>
      <w:divBdr>
        <w:top w:val="none" w:sz="0" w:space="0" w:color="auto"/>
        <w:left w:val="none" w:sz="0" w:space="0" w:color="auto"/>
        <w:bottom w:val="none" w:sz="0" w:space="0" w:color="auto"/>
        <w:right w:val="none" w:sz="0" w:space="0" w:color="auto"/>
      </w:divBdr>
    </w:div>
    <w:div w:id="750128899">
      <w:bodyDiv w:val="1"/>
      <w:marLeft w:val="0"/>
      <w:marRight w:val="0"/>
      <w:marTop w:val="0"/>
      <w:marBottom w:val="0"/>
      <w:divBdr>
        <w:top w:val="none" w:sz="0" w:space="0" w:color="auto"/>
        <w:left w:val="none" w:sz="0" w:space="0" w:color="auto"/>
        <w:bottom w:val="none" w:sz="0" w:space="0" w:color="auto"/>
        <w:right w:val="none" w:sz="0" w:space="0" w:color="auto"/>
      </w:divBdr>
      <w:divsChild>
        <w:div w:id="1517647454">
          <w:marLeft w:val="0"/>
          <w:marRight w:val="0"/>
          <w:marTop w:val="0"/>
          <w:marBottom w:val="0"/>
          <w:divBdr>
            <w:top w:val="none" w:sz="0" w:space="0" w:color="auto"/>
            <w:left w:val="none" w:sz="0" w:space="0" w:color="auto"/>
            <w:bottom w:val="none" w:sz="0" w:space="0" w:color="auto"/>
            <w:right w:val="none" w:sz="0" w:space="0" w:color="auto"/>
          </w:divBdr>
          <w:divsChild>
            <w:div w:id="2049259286">
              <w:marLeft w:val="0"/>
              <w:marRight w:val="0"/>
              <w:marTop w:val="0"/>
              <w:marBottom w:val="0"/>
              <w:divBdr>
                <w:top w:val="none" w:sz="0" w:space="0" w:color="auto"/>
                <w:left w:val="none" w:sz="0" w:space="0" w:color="auto"/>
                <w:bottom w:val="none" w:sz="0" w:space="0" w:color="auto"/>
                <w:right w:val="none" w:sz="0" w:space="0" w:color="auto"/>
              </w:divBdr>
              <w:divsChild>
                <w:div w:id="751974977">
                  <w:marLeft w:val="0"/>
                  <w:marRight w:val="0"/>
                  <w:marTop w:val="0"/>
                  <w:marBottom w:val="0"/>
                  <w:divBdr>
                    <w:top w:val="none" w:sz="0" w:space="0" w:color="auto"/>
                    <w:left w:val="none" w:sz="0" w:space="0" w:color="auto"/>
                    <w:bottom w:val="none" w:sz="0" w:space="0" w:color="auto"/>
                    <w:right w:val="none" w:sz="0" w:space="0" w:color="auto"/>
                  </w:divBdr>
                  <w:divsChild>
                    <w:div w:id="468786753">
                      <w:marLeft w:val="0"/>
                      <w:marRight w:val="0"/>
                      <w:marTop w:val="0"/>
                      <w:marBottom w:val="0"/>
                      <w:divBdr>
                        <w:top w:val="none" w:sz="0" w:space="0" w:color="auto"/>
                        <w:left w:val="none" w:sz="0" w:space="0" w:color="auto"/>
                        <w:bottom w:val="none" w:sz="0" w:space="0" w:color="auto"/>
                        <w:right w:val="none" w:sz="0" w:space="0" w:color="auto"/>
                      </w:divBdr>
                      <w:divsChild>
                        <w:div w:id="1152332714">
                          <w:marLeft w:val="0"/>
                          <w:marRight w:val="0"/>
                          <w:marTop w:val="0"/>
                          <w:marBottom w:val="0"/>
                          <w:divBdr>
                            <w:top w:val="none" w:sz="0" w:space="0" w:color="auto"/>
                            <w:left w:val="none" w:sz="0" w:space="0" w:color="auto"/>
                            <w:bottom w:val="none" w:sz="0" w:space="0" w:color="auto"/>
                            <w:right w:val="none" w:sz="0" w:space="0" w:color="auto"/>
                          </w:divBdr>
                          <w:divsChild>
                            <w:div w:id="1076169160">
                              <w:marLeft w:val="0"/>
                              <w:marRight w:val="0"/>
                              <w:marTop w:val="0"/>
                              <w:marBottom w:val="0"/>
                              <w:divBdr>
                                <w:top w:val="none" w:sz="0" w:space="0" w:color="auto"/>
                                <w:left w:val="none" w:sz="0" w:space="0" w:color="auto"/>
                                <w:bottom w:val="none" w:sz="0" w:space="0" w:color="auto"/>
                                <w:right w:val="none" w:sz="0" w:space="0" w:color="auto"/>
                              </w:divBdr>
                              <w:divsChild>
                                <w:div w:id="2037610349">
                                  <w:marLeft w:val="0"/>
                                  <w:marRight w:val="0"/>
                                  <w:marTop w:val="0"/>
                                  <w:marBottom w:val="0"/>
                                  <w:divBdr>
                                    <w:top w:val="none" w:sz="0" w:space="0" w:color="auto"/>
                                    <w:left w:val="none" w:sz="0" w:space="0" w:color="auto"/>
                                    <w:bottom w:val="none" w:sz="0" w:space="0" w:color="auto"/>
                                    <w:right w:val="none" w:sz="0" w:space="0" w:color="auto"/>
                                  </w:divBdr>
                                  <w:divsChild>
                                    <w:div w:id="27797420">
                                      <w:marLeft w:val="0"/>
                                      <w:marRight w:val="0"/>
                                      <w:marTop w:val="0"/>
                                      <w:marBottom w:val="0"/>
                                      <w:divBdr>
                                        <w:top w:val="none" w:sz="0" w:space="0" w:color="auto"/>
                                        <w:left w:val="none" w:sz="0" w:space="0" w:color="auto"/>
                                        <w:bottom w:val="none" w:sz="0" w:space="0" w:color="auto"/>
                                        <w:right w:val="none" w:sz="0" w:space="0" w:color="auto"/>
                                      </w:divBdr>
                                      <w:divsChild>
                                        <w:div w:id="587155444">
                                          <w:marLeft w:val="0"/>
                                          <w:marRight w:val="0"/>
                                          <w:marTop w:val="0"/>
                                          <w:marBottom w:val="0"/>
                                          <w:divBdr>
                                            <w:top w:val="none" w:sz="0" w:space="0" w:color="auto"/>
                                            <w:left w:val="none" w:sz="0" w:space="0" w:color="auto"/>
                                            <w:bottom w:val="none" w:sz="0" w:space="0" w:color="auto"/>
                                            <w:right w:val="none" w:sz="0" w:space="0" w:color="auto"/>
                                          </w:divBdr>
                                          <w:divsChild>
                                            <w:div w:id="219630555">
                                              <w:marLeft w:val="0"/>
                                              <w:marRight w:val="0"/>
                                              <w:marTop w:val="0"/>
                                              <w:marBottom w:val="0"/>
                                              <w:divBdr>
                                                <w:top w:val="none" w:sz="0" w:space="0" w:color="auto"/>
                                                <w:left w:val="none" w:sz="0" w:space="0" w:color="auto"/>
                                                <w:bottom w:val="none" w:sz="0" w:space="0" w:color="auto"/>
                                                <w:right w:val="none" w:sz="0" w:space="0" w:color="auto"/>
                                              </w:divBdr>
                                              <w:divsChild>
                                                <w:div w:id="1676574512">
                                                  <w:marLeft w:val="0"/>
                                                  <w:marRight w:val="0"/>
                                                  <w:marTop w:val="0"/>
                                                  <w:marBottom w:val="0"/>
                                                  <w:divBdr>
                                                    <w:top w:val="none" w:sz="0" w:space="0" w:color="auto"/>
                                                    <w:left w:val="none" w:sz="0" w:space="0" w:color="auto"/>
                                                    <w:bottom w:val="none" w:sz="0" w:space="0" w:color="auto"/>
                                                    <w:right w:val="none" w:sz="0" w:space="0" w:color="auto"/>
                                                  </w:divBdr>
                                                  <w:divsChild>
                                                    <w:div w:id="1887057786">
                                                      <w:marLeft w:val="0"/>
                                                      <w:marRight w:val="0"/>
                                                      <w:marTop w:val="0"/>
                                                      <w:marBottom w:val="0"/>
                                                      <w:divBdr>
                                                        <w:top w:val="none" w:sz="0" w:space="0" w:color="auto"/>
                                                        <w:left w:val="none" w:sz="0" w:space="0" w:color="auto"/>
                                                        <w:bottom w:val="none" w:sz="0" w:space="0" w:color="auto"/>
                                                        <w:right w:val="none" w:sz="0" w:space="0" w:color="auto"/>
                                                      </w:divBdr>
                                                      <w:divsChild>
                                                        <w:div w:id="1178231321">
                                                          <w:marLeft w:val="0"/>
                                                          <w:marRight w:val="0"/>
                                                          <w:marTop w:val="0"/>
                                                          <w:marBottom w:val="0"/>
                                                          <w:divBdr>
                                                            <w:top w:val="none" w:sz="0" w:space="0" w:color="auto"/>
                                                            <w:left w:val="none" w:sz="0" w:space="0" w:color="auto"/>
                                                            <w:bottom w:val="none" w:sz="0" w:space="0" w:color="auto"/>
                                                            <w:right w:val="none" w:sz="0" w:space="0" w:color="auto"/>
                                                          </w:divBdr>
                                                          <w:divsChild>
                                                            <w:div w:id="173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595478">
      <w:bodyDiv w:val="1"/>
      <w:marLeft w:val="0"/>
      <w:marRight w:val="0"/>
      <w:marTop w:val="0"/>
      <w:marBottom w:val="0"/>
      <w:divBdr>
        <w:top w:val="none" w:sz="0" w:space="0" w:color="auto"/>
        <w:left w:val="none" w:sz="0" w:space="0" w:color="auto"/>
        <w:bottom w:val="none" w:sz="0" w:space="0" w:color="auto"/>
        <w:right w:val="none" w:sz="0" w:space="0" w:color="auto"/>
      </w:divBdr>
    </w:div>
    <w:div w:id="797525399">
      <w:bodyDiv w:val="1"/>
      <w:marLeft w:val="0"/>
      <w:marRight w:val="0"/>
      <w:marTop w:val="0"/>
      <w:marBottom w:val="0"/>
      <w:divBdr>
        <w:top w:val="none" w:sz="0" w:space="0" w:color="auto"/>
        <w:left w:val="none" w:sz="0" w:space="0" w:color="auto"/>
        <w:bottom w:val="none" w:sz="0" w:space="0" w:color="auto"/>
        <w:right w:val="none" w:sz="0" w:space="0" w:color="auto"/>
      </w:divBdr>
    </w:div>
    <w:div w:id="923611822">
      <w:bodyDiv w:val="1"/>
      <w:marLeft w:val="0"/>
      <w:marRight w:val="0"/>
      <w:marTop w:val="0"/>
      <w:marBottom w:val="0"/>
      <w:divBdr>
        <w:top w:val="none" w:sz="0" w:space="0" w:color="auto"/>
        <w:left w:val="none" w:sz="0" w:space="0" w:color="auto"/>
        <w:bottom w:val="none" w:sz="0" w:space="0" w:color="auto"/>
        <w:right w:val="none" w:sz="0" w:space="0" w:color="auto"/>
      </w:divBdr>
    </w:div>
    <w:div w:id="929002861">
      <w:bodyDiv w:val="1"/>
      <w:marLeft w:val="0"/>
      <w:marRight w:val="0"/>
      <w:marTop w:val="0"/>
      <w:marBottom w:val="0"/>
      <w:divBdr>
        <w:top w:val="none" w:sz="0" w:space="0" w:color="auto"/>
        <w:left w:val="none" w:sz="0" w:space="0" w:color="auto"/>
        <w:bottom w:val="none" w:sz="0" w:space="0" w:color="auto"/>
        <w:right w:val="none" w:sz="0" w:space="0" w:color="auto"/>
      </w:divBdr>
    </w:div>
    <w:div w:id="929241362">
      <w:bodyDiv w:val="1"/>
      <w:marLeft w:val="0"/>
      <w:marRight w:val="0"/>
      <w:marTop w:val="0"/>
      <w:marBottom w:val="0"/>
      <w:divBdr>
        <w:top w:val="none" w:sz="0" w:space="0" w:color="auto"/>
        <w:left w:val="none" w:sz="0" w:space="0" w:color="auto"/>
        <w:bottom w:val="none" w:sz="0" w:space="0" w:color="auto"/>
        <w:right w:val="none" w:sz="0" w:space="0" w:color="auto"/>
      </w:divBdr>
    </w:div>
    <w:div w:id="934247485">
      <w:bodyDiv w:val="1"/>
      <w:marLeft w:val="0"/>
      <w:marRight w:val="0"/>
      <w:marTop w:val="0"/>
      <w:marBottom w:val="0"/>
      <w:divBdr>
        <w:top w:val="none" w:sz="0" w:space="0" w:color="auto"/>
        <w:left w:val="none" w:sz="0" w:space="0" w:color="auto"/>
        <w:bottom w:val="none" w:sz="0" w:space="0" w:color="auto"/>
        <w:right w:val="none" w:sz="0" w:space="0" w:color="auto"/>
      </w:divBdr>
    </w:div>
    <w:div w:id="948463549">
      <w:bodyDiv w:val="1"/>
      <w:marLeft w:val="0"/>
      <w:marRight w:val="0"/>
      <w:marTop w:val="0"/>
      <w:marBottom w:val="0"/>
      <w:divBdr>
        <w:top w:val="none" w:sz="0" w:space="0" w:color="auto"/>
        <w:left w:val="none" w:sz="0" w:space="0" w:color="auto"/>
        <w:bottom w:val="none" w:sz="0" w:space="0" w:color="auto"/>
        <w:right w:val="none" w:sz="0" w:space="0" w:color="auto"/>
      </w:divBdr>
    </w:div>
    <w:div w:id="964585733">
      <w:bodyDiv w:val="1"/>
      <w:marLeft w:val="0"/>
      <w:marRight w:val="0"/>
      <w:marTop w:val="0"/>
      <w:marBottom w:val="0"/>
      <w:divBdr>
        <w:top w:val="none" w:sz="0" w:space="0" w:color="auto"/>
        <w:left w:val="none" w:sz="0" w:space="0" w:color="auto"/>
        <w:bottom w:val="none" w:sz="0" w:space="0" w:color="auto"/>
        <w:right w:val="none" w:sz="0" w:space="0" w:color="auto"/>
      </w:divBdr>
    </w:div>
    <w:div w:id="1001395554">
      <w:bodyDiv w:val="1"/>
      <w:marLeft w:val="0"/>
      <w:marRight w:val="0"/>
      <w:marTop w:val="0"/>
      <w:marBottom w:val="0"/>
      <w:divBdr>
        <w:top w:val="none" w:sz="0" w:space="0" w:color="auto"/>
        <w:left w:val="none" w:sz="0" w:space="0" w:color="auto"/>
        <w:bottom w:val="none" w:sz="0" w:space="0" w:color="auto"/>
        <w:right w:val="none" w:sz="0" w:space="0" w:color="auto"/>
      </w:divBdr>
    </w:div>
    <w:div w:id="1024940405">
      <w:bodyDiv w:val="1"/>
      <w:marLeft w:val="0"/>
      <w:marRight w:val="0"/>
      <w:marTop w:val="0"/>
      <w:marBottom w:val="0"/>
      <w:divBdr>
        <w:top w:val="none" w:sz="0" w:space="0" w:color="auto"/>
        <w:left w:val="none" w:sz="0" w:space="0" w:color="auto"/>
        <w:bottom w:val="none" w:sz="0" w:space="0" w:color="auto"/>
        <w:right w:val="none" w:sz="0" w:space="0" w:color="auto"/>
      </w:divBdr>
    </w:div>
    <w:div w:id="1041511818">
      <w:bodyDiv w:val="1"/>
      <w:marLeft w:val="0"/>
      <w:marRight w:val="0"/>
      <w:marTop w:val="0"/>
      <w:marBottom w:val="0"/>
      <w:divBdr>
        <w:top w:val="none" w:sz="0" w:space="0" w:color="auto"/>
        <w:left w:val="none" w:sz="0" w:space="0" w:color="auto"/>
        <w:bottom w:val="none" w:sz="0" w:space="0" w:color="auto"/>
        <w:right w:val="none" w:sz="0" w:space="0" w:color="auto"/>
      </w:divBdr>
    </w:div>
    <w:div w:id="1063523308">
      <w:bodyDiv w:val="1"/>
      <w:marLeft w:val="0"/>
      <w:marRight w:val="0"/>
      <w:marTop w:val="0"/>
      <w:marBottom w:val="0"/>
      <w:divBdr>
        <w:top w:val="none" w:sz="0" w:space="0" w:color="auto"/>
        <w:left w:val="none" w:sz="0" w:space="0" w:color="auto"/>
        <w:bottom w:val="none" w:sz="0" w:space="0" w:color="auto"/>
        <w:right w:val="none" w:sz="0" w:space="0" w:color="auto"/>
      </w:divBdr>
    </w:div>
    <w:div w:id="1084912988">
      <w:bodyDiv w:val="1"/>
      <w:marLeft w:val="0"/>
      <w:marRight w:val="0"/>
      <w:marTop w:val="0"/>
      <w:marBottom w:val="0"/>
      <w:divBdr>
        <w:top w:val="none" w:sz="0" w:space="0" w:color="auto"/>
        <w:left w:val="none" w:sz="0" w:space="0" w:color="auto"/>
        <w:bottom w:val="none" w:sz="0" w:space="0" w:color="auto"/>
        <w:right w:val="none" w:sz="0" w:space="0" w:color="auto"/>
      </w:divBdr>
    </w:div>
    <w:div w:id="1094473253">
      <w:bodyDiv w:val="1"/>
      <w:marLeft w:val="0"/>
      <w:marRight w:val="0"/>
      <w:marTop w:val="0"/>
      <w:marBottom w:val="0"/>
      <w:divBdr>
        <w:top w:val="none" w:sz="0" w:space="0" w:color="auto"/>
        <w:left w:val="none" w:sz="0" w:space="0" w:color="auto"/>
        <w:bottom w:val="none" w:sz="0" w:space="0" w:color="auto"/>
        <w:right w:val="none" w:sz="0" w:space="0" w:color="auto"/>
      </w:divBdr>
    </w:div>
    <w:div w:id="1123690269">
      <w:bodyDiv w:val="1"/>
      <w:marLeft w:val="0"/>
      <w:marRight w:val="0"/>
      <w:marTop w:val="0"/>
      <w:marBottom w:val="0"/>
      <w:divBdr>
        <w:top w:val="none" w:sz="0" w:space="0" w:color="auto"/>
        <w:left w:val="none" w:sz="0" w:space="0" w:color="auto"/>
        <w:bottom w:val="none" w:sz="0" w:space="0" w:color="auto"/>
        <w:right w:val="none" w:sz="0" w:space="0" w:color="auto"/>
      </w:divBdr>
    </w:div>
    <w:div w:id="1146971161">
      <w:bodyDiv w:val="1"/>
      <w:marLeft w:val="0"/>
      <w:marRight w:val="0"/>
      <w:marTop w:val="0"/>
      <w:marBottom w:val="0"/>
      <w:divBdr>
        <w:top w:val="none" w:sz="0" w:space="0" w:color="auto"/>
        <w:left w:val="none" w:sz="0" w:space="0" w:color="auto"/>
        <w:bottom w:val="none" w:sz="0" w:space="0" w:color="auto"/>
        <w:right w:val="none" w:sz="0" w:space="0" w:color="auto"/>
      </w:divBdr>
    </w:div>
    <w:div w:id="1189218058">
      <w:bodyDiv w:val="1"/>
      <w:marLeft w:val="0"/>
      <w:marRight w:val="0"/>
      <w:marTop w:val="0"/>
      <w:marBottom w:val="0"/>
      <w:divBdr>
        <w:top w:val="none" w:sz="0" w:space="0" w:color="auto"/>
        <w:left w:val="none" w:sz="0" w:space="0" w:color="auto"/>
        <w:bottom w:val="none" w:sz="0" w:space="0" w:color="auto"/>
        <w:right w:val="none" w:sz="0" w:space="0" w:color="auto"/>
      </w:divBdr>
    </w:div>
    <w:div w:id="1199465502">
      <w:bodyDiv w:val="1"/>
      <w:marLeft w:val="0"/>
      <w:marRight w:val="0"/>
      <w:marTop w:val="0"/>
      <w:marBottom w:val="0"/>
      <w:divBdr>
        <w:top w:val="none" w:sz="0" w:space="0" w:color="auto"/>
        <w:left w:val="none" w:sz="0" w:space="0" w:color="auto"/>
        <w:bottom w:val="none" w:sz="0" w:space="0" w:color="auto"/>
        <w:right w:val="none" w:sz="0" w:space="0" w:color="auto"/>
      </w:divBdr>
    </w:div>
    <w:div w:id="1207377231">
      <w:bodyDiv w:val="1"/>
      <w:marLeft w:val="0"/>
      <w:marRight w:val="0"/>
      <w:marTop w:val="0"/>
      <w:marBottom w:val="0"/>
      <w:divBdr>
        <w:top w:val="none" w:sz="0" w:space="0" w:color="auto"/>
        <w:left w:val="none" w:sz="0" w:space="0" w:color="auto"/>
        <w:bottom w:val="none" w:sz="0" w:space="0" w:color="auto"/>
        <w:right w:val="none" w:sz="0" w:space="0" w:color="auto"/>
      </w:divBdr>
    </w:div>
    <w:div w:id="1250575042">
      <w:bodyDiv w:val="1"/>
      <w:marLeft w:val="0"/>
      <w:marRight w:val="0"/>
      <w:marTop w:val="0"/>
      <w:marBottom w:val="0"/>
      <w:divBdr>
        <w:top w:val="none" w:sz="0" w:space="0" w:color="auto"/>
        <w:left w:val="none" w:sz="0" w:space="0" w:color="auto"/>
        <w:bottom w:val="none" w:sz="0" w:space="0" w:color="auto"/>
        <w:right w:val="none" w:sz="0" w:space="0" w:color="auto"/>
      </w:divBdr>
    </w:div>
    <w:div w:id="1300065287">
      <w:bodyDiv w:val="1"/>
      <w:marLeft w:val="0"/>
      <w:marRight w:val="0"/>
      <w:marTop w:val="0"/>
      <w:marBottom w:val="0"/>
      <w:divBdr>
        <w:top w:val="none" w:sz="0" w:space="0" w:color="auto"/>
        <w:left w:val="none" w:sz="0" w:space="0" w:color="auto"/>
        <w:bottom w:val="none" w:sz="0" w:space="0" w:color="auto"/>
        <w:right w:val="none" w:sz="0" w:space="0" w:color="auto"/>
      </w:divBdr>
    </w:div>
    <w:div w:id="1311446273">
      <w:bodyDiv w:val="1"/>
      <w:marLeft w:val="0"/>
      <w:marRight w:val="0"/>
      <w:marTop w:val="0"/>
      <w:marBottom w:val="0"/>
      <w:divBdr>
        <w:top w:val="none" w:sz="0" w:space="0" w:color="auto"/>
        <w:left w:val="none" w:sz="0" w:space="0" w:color="auto"/>
        <w:bottom w:val="none" w:sz="0" w:space="0" w:color="auto"/>
        <w:right w:val="none" w:sz="0" w:space="0" w:color="auto"/>
      </w:divBdr>
    </w:div>
    <w:div w:id="1348167607">
      <w:bodyDiv w:val="1"/>
      <w:marLeft w:val="0"/>
      <w:marRight w:val="0"/>
      <w:marTop w:val="0"/>
      <w:marBottom w:val="0"/>
      <w:divBdr>
        <w:top w:val="none" w:sz="0" w:space="0" w:color="auto"/>
        <w:left w:val="none" w:sz="0" w:space="0" w:color="auto"/>
        <w:bottom w:val="none" w:sz="0" w:space="0" w:color="auto"/>
        <w:right w:val="none" w:sz="0" w:space="0" w:color="auto"/>
      </w:divBdr>
    </w:div>
    <w:div w:id="1383746989">
      <w:bodyDiv w:val="1"/>
      <w:marLeft w:val="0"/>
      <w:marRight w:val="0"/>
      <w:marTop w:val="0"/>
      <w:marBottom w:val="0"/>
      <w:divBdr>
        <w:top w:val="none" w:sz="0" w:space="0" w:color="auto"/>
        <w:left w:val="none" w:sz="0" w:space="0" w:color="auto"/>
        <w:bottom w:val="none" w:sz="0" w:space="0" w:color="auto"/>
        <w:right w:val="none" w:sz="0" w:space="0" w:color="auto"/>
      </w:divBdr>
    </w:div>
    <w:div w:id="1393655443">
      <w:bodyDiv w:val="1"/>
      <w:marLeft w:val="0"/>
      <w:marRight w:val="0"/>
      <w:marTop w:val="0"/>
      <w:marBottom w:val="0"/>
      <w:divBdr>
        <w:top w:val="none" w:sz="0" w:space="0" w:color="auto"/>
        <w:left w:val="none" w:sz="0" w:space="0" w:color="auto"/>
        <w:bottom w:val="none" w:sz="0" w:space="0" w:color="auto"/>
        <w:right w:val="none" w:sz="0" w:space="0" w:color="auto"/>
      </w:divBdr>
    </w:div>
    <w:div w:id="1406802513">
      <w:bodyDiv w:val="1"/>
      <w:marLeft w:val="0"/>
      <w:marRight w:val="0"/>
      <w:marTop w:val="0"/>
      <w:marBottom w:val="0"/>
      <w:divBdr>
        <w:top w:val="none" w:sz="0" w:space="0" w:color="auto"/>
        <w:left w:val="none" w:sz="0" w:space="0" w:color="auto"/>
        <w:bottom w:val="none" w:sz="0" w:space="0" w:color="auto"/>
        <w:right w:val="none" w:sz="0" w:space="0" w:color="auto"/>
      </w:divBdr>
    </w:div>
    <w:div w:id="1423455485">
      <w:bodyDiv w:val="1"/>
      <w:marLeft w:val="0"/>
      <w:marRight w:val="0"/>
      <w:marTop w:val="0"/>
      <w:marBottom w:val="0"/>
      <w:divBdr>
        <w:top w:val="none" w:sz="0" w:space="0" w:color="auto"/>
        <w:left w:val="none" w:sz="0" w:space="0" w:color="auto"/>
        <w:bottom w:val="none" w:sz="0" w:space="0" w:color="auto"/>
        <w:right w:val="none" w:sz="0" w:space="0" w:color="auto"/>
      </w:divBdr>
    </w:div>
    <w:div w:id="1463883045">
      <w:bodyDiv w:val="1"/>
      <w:marLeft w:val="0"/>
      <w:marRight w:val="0"/>
      <w:marTop w:val="0"/>
      <w:marBottom w:val="0"/>
      <w:divBdr>
        <w:top w:val="none" w:sz="0" w:space="0" w:color="auto"/>
        <w:left w:val="none" w:sz="0" w:space="0" w:color="auto"/>
        <w:bottom w:val="none" w:sz="0" w:space="0" w:color="auto"/>
        <w:right w:val="none" w:sz="0" w:space="0" w:color="auto"/>
      </w:divBdr>
    </w:div>
    <w:div w:id="1482843433">
      <w:bodyDiv w:val="1"/>
      <w:marLeft w:val="0"/>
      <w:marRight w:val="0"/>
      <w:marTop w:val="0"/>
      <w:marBottom w:val="0"/>
      <w:divBdr>
        <w:top w:val="none" w:sz="0" w:space="0" w:color="auto"/>
        <w:left w:val="none" w:sz="0" w:space="0" w:color="auto"/>
        <w:bottom w:val="none" w:sz="0" w:space="0" w:color="auto"/>
        <w:right w:val="none" w:sz="0" w:space="0" w:color="auto"/>
      </w:divBdr>
    </w:div>
    <w:div w:id="1551653371">
      <w:bodyDiv w:val="1"/>
      <w:marLeft w:val="0"/>
      <w:marRight w:val="0"/>
      <w:marTop w:val="0"/>
      <w:marBottom w:val="0"/>
      <w:divBdr>
        <w:top w:val="none" w:sz="0" w:space="0" w:color="auto"/>
        <w:left w:val="none" w:sz="0" w:space="0" w:color="auto"/>
        <w:bottom w:val="none" w:sz="0" w:space="0" w:color="auto"/>
        <w:right w:val="none" w:sz="0" w:space="0" w:color="auto"/>
      </w:divBdr>
    </w:div>
    <w:div w:id="1592004247">
      <w:bodyDiv w:val="1"/>
      <w:marLeft w:val="0"/>
      <w:marRight w:val="0"/>
      <w:marTop w:val="0"/>
      <w:marBottom w:val="0"/>
      <w:divBdr>
        <w:top w:val="none" w:sz="0" w:space="0" w:color="auto"/>
        <w:left w:val="none" w:sz="0" w:space="0" w:color="auto"/>
        <w:bottom w:val="none" w:sz="0" w:space="0" w:color="auto"/>
        <w:right w:val="none" w:sz="0" w:space="0" w:color="auto"/>
      </w:divBdr>
    </w:div>
    <w:div w:id="1614357259">
      <w:bodyDiv w:val="1"/>
      <w:marLeft w:val="0"/>
      <w:marRight w:val="0"/>
      <w:marTop w:val="0"/>
      <w:marBottom w:val="0"/>
      <w:divBdr>
        <w:top w:val="none" w:sz="0" w:space="0" w:color="auto"/>
        <w:left w:val="none" w:sz="0" w:space="0" w:color="auto"/>
        <w:bottom w:val="none" w:sz="0" w:space="0" w:color="auto"/>
        <w:right w:val="none" w:sz="0" w:space="0" w:color="auto"/>
      </w:divBdr>
    </w:div>
    <w:div w:id="1627006202">
      <w:bodyDiv w:val="1"/>
      <w:marLeft w:val="0"/>
      <w:marRight w:val="0"/>
      <w:marTop w:val="0"/>
      <w:marBottom w:val="0"/>
      <w:divBdr>
        <w:top w:val="none" w:sz="0" w:space="0" w:color="auto"/>
        <w:left w:val="none" w:sz="0" w:space="0" w:color="auto"/>
        <w:bottom w:val="none" w:sz="0" w:space="0" w:color="auto"/>
        <w:right w:val="none" w:sz="0" w:space="0" w:color="auto"/>
      </w:divBdr>
    </w:div>
    <w:div w:id="1635867683">
      <w:bodyDiv w:val="1"/>
      <w:marLeft w:val="0"/>
      <w:marRight w:val="0"/>
      <w:marTop w:val="0"/>
      <w:marBottom w:val="0"/>
      <w:divBdr>
        <w:top w:val="none" w:sz="0" w:space="0" w:color="auto"/>
        <w:left w:val="none" w:sz="0" w:space="0" w:color="auto"/>
        <w:bottom w:val="none" w:sz="0" w:space="0" w:color="auto"/>
        <w:right w:val="none" w:sz="0" w:space="0" w:color="auto"/>
      </w:divBdr>
    </w:div>
    <w:div w:id="1656564013">
      <w:bodyDiv w:val="1"/>
      <w:marLeft w:val="0"/>
      <w:marRight w:val="0"/>
      <w:marTop w:val="0"/>
      <w:marBottom w:val="0"/>
      <w:divBdr>
        <w:top w:val="none" w:sz="0" w:space="0" w:color="auto"/>
        <w:left w:val="none" w:sz="0" w:space="0" w:color="auto"/>
        <w:bottom w:val="none" w:sz="0" w:space="0" w:color="auto"/>
        <w:right w:val="none" w:sz="0" w:space="0" w:color="auto"/>
      </w:divBdr>
      <w:divsChild>
        <w:div w:id="1849711455">
          <w:marLeft w:val="547"/>
          <w:marRight w:val="0"/>
          <w:marTop w:val="200"/>
          <w:marBottom w:val="0"/>
          <w:divBdr>
            <w:top w:val="none" w:sz="0" w:space="0" w:color="auto"/>
            <w:left w:val="none" w:sz="0" w:space="0" w:color="auto"/>
            <w:bottom w:val="none" w:sz="0" w:space="0" w:color="auto"/>
            <w:right w:val="none" w:sz="0" w:space="0" w:color="auto"/>
          </w:divBdr>
        </w:div>
      </w:divsChild>
    </w:div>
    <w:div w:id="1672176836">
      <w:bodyDiv w:val="1"/>
      <w:marLeft w:val="0"/>
      <w:marRight w:val="0"/>
      <w:marTop w:val="0"/>
      <w:marBottom w:val="0"/>
      <w:divBdr>
        <w:top w:val="none" w:sz="0" w:space="0" w:color="auto"/>
        <w:left w:val="none" w:sz="0" w:space="0" w:color="auto"/>
        <w:bottom w:val="none" w:sz="0" w:space="0" w:color="auto"/>
        <w:right w:val="none" w:sz="0" w:space="0" w:color="auto"/>
      </w:divBdr>
    </w:div>
    <w:div w:id="1687172776">
      <w:bodyDiv w:val="1"/>
      <w:marLeft w:val="0"/>
      <w:marRight w:val="0"/>
      <w:marTop w:val="0"/>
      <w:marBottom w:val="0"/>
      <w:divBdr>
        <w:top w:val="none" w:sz="0" w:space="0" w:color="auto"/>
        <w:left w:val="none" w:sz="0" w:space="0" w:color="auto"/>
        <w:bottom w:val="none" w:sz="0" w:space="0" w:color="auto"/>
        <w:right w:val="none" w:sz="0" w:space="0" w:color="auto"/>
      </w:divBdr>
    </w:div>
    <w:div w:id="1735468368">
      <w:bodyDiv w:val="1"/>
      <w:marLeft w:val="0"/>
      <w:marRight w:val="0"/>
      <w:marTop w:val="0"/>
      <w:marBottom w:val="0"/>
      <w:divBdr>
        <w:top w:val="none" w:sz="0" w:space="0" w:color="auto"/>
        <w:left w:val="none" w:sz="0" w:space="0" w:color="auto"/>
        <w:bottom w:val="none" w:sz="0" w:space="0" w:color="auto"/>
        <w:right w:val="none" w:sz="0" w:space="0" w:color="auto"/>
      </w:divBdr>
    </w:div>
    <w:div w:id="1738286952">
      <w:bodyDiv w:val="1"/>
      <w:marLeft w:val="0"/>
      <w:marRight w:val="0"/>
      <w:marTop w:val="0"/>
      <w:marBottom w:val="0"/>
      <w:divBdr>
        <w:top w:val="none" w:sz="0" w:space="0" w:color="auto"/>
        <w:left w:val="none" w:sz="0" w:space="0" w:color="auto"/>
        <w:bottom w:val="none" w:sz="0" w:space="0" w:color="auto"/>
        <w:right w:val="none" w:sz="0" w:space="0" w:color="auto"/>
      </w:divBdr>
    </w:div>
    <w:div w:id="1781603114">
      <w:bodyDiv w:val="1"/>
      <w:marLeft w:val="0"/>
      <w:marRight w:val="0"/>
      <w:marTop w:val="0"/>
      <w:marBottom w:val="0"/>
      <w:divBdr>
        <w:top w:val="none" w:sz="0" w:space="0" w:color="auto"/>
        <w:left w:val="none" w:sz="0" w:space="0" w:color="auto"/>
        <w:bottom w:val="none" w:sz="0" w:space="0" w:color="auto"/>
        <w:right w:val="none" w:sz="0" w:space="0" w:color="auto"/>
      </w:divBdr>
      <w:divsChild>
        <w:div w:id="2127117219">
          <w:marLeft w:val="0"/>
          <w:marRight w:val="0"/>
          <w:marTop w:val="0"/>
          <w:marBottom w:val="0"/>
          <w:divBdr>
            <w:top w:val="none" w:sz="0" w:space="0" w:color="auto"/>
            <w:left w:val="none" w:sz="0" w:space="0" w:color="auto"/>
            <w:bottom w:val="none" w:sz="0" w:space="0" w:color="auto"/>
            <w:right w:val="none" w:sz="0" w:space="0" w:color="auto"/>
          </w:divBdr>
          <w:divsChild>
            <w:div w:id="819426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7134857">
      <w:bodyDiv w:val="1"/>
      <w:marLeft w:val="0"/>
      <w:marRight w:val="0"/>
      <w:marTop w:val="0"/>
      <w:marBottom w:val="0"/>
      <w:divBdr>
        <w:top w:val="none" w:sz="0" w:space="0" w:color="auto"/>
        <w:left w:val="none" w:sz="0" w:space="0" w:color="auto"/>
        <w:bottom w:val="none" w:sz="0" w:space="0" w:color="auto"/>
        <w:right w:val="none" w:sz="0" w:space="0" w:color="auto"/>
      </w:divBdr>
    </w:div>
    <w:div w:id="1800300345">
      <w:bodyDiv w:val="1"/>
      <w:marLeft w:val="0"/>
      <w:marRight w:val="0"/>
      <w:marTop w:val="0"/>
      <w:marBottom w:val="0"/>
      <w:divBdr>
        <w:top w:val="none" w:sz="0" w:space="0" w:color="auto"/>
        <w:left w:val="none" w:sz="0" w:space="0" w:color="auto"/>
        <w:bottom w:val="none" w:sz="0" w:space="0" w:color="auto"/>
        <w:right w:val="none" w:sz="0" w:space="0" w:color="auto"/>
      </w:divBdr>
    </w:div>
    <w:div w:id="1809320910">
      <w:bodyDiv w:val="1"/>
      <w:marLeft w:val="0"/>
      <w:marRight w:val="0"/>
      <w:marTop w:val="0"/>
      <w:marBottom w:val="0"/>
      <w:divBdr>
        <w:top w:val="none" w:sz="0" w:space="0" w:color="auto"/>
        <w:left w:val="none" w:sz="0" w:space="0" w:color="auto"/>
        <w:bottom w:val="none" w:sz="0" w:space="0" w:color="auto"/>
        <w:right w:val="none" w:sz="0" w:space="0" w:color="auto"/>
      </w:divBdr>
    </w:div>
    <w:div w:id="1820728389">
      <w:bodyDiv w:val="1"/>
      <w:marLeft w:val="0"/>
      <w:marRight w:val="0"/>
      <w:marTop w:val="0"/>
      <w:marBottom w:val="0"/>
      <w:divBdr>
        <w:top w:val="none" w:sz="0" w:space="0" w:color="auto"/>
        <w:left w:val="none" w:sz="0" w:space="0" w:color="auto"/>
        <w:bottom w:val="none" w:sz="0" w:space="0" w:color="auto"/>
        <w:right w:val="none" w:sz="0" w:space="0" w:color="auto"/>
      </w:divBdr>
    </w:div>
    <w:div w:id="1831167675">
      <w:bodyDiv w:val="1"/>
      <w:marLeft w:val="0"/>
      <w:marRight w:val="0"/>
      <w:marTop w:val="0"/>
      <w:marBottom w:val="0"/>
      <w:divBdr>
        <w:top w:val="none" w:sz="0" w:space="0" w:color="auto"/>
        <w:left w:val="none" w:sz="0" w:space="0" w:color="auto"/>
        <w:bottom w:val="none" w:sz="0" w:space="0" w:color="auto"/>
        <w:right w:val="none" w:sz="0" w:space="0" w:color="auto"/>
      </w:divBdr>
    </w:div>
    <w:div w:id="1868131533">
      <w:bodyDiv w:val="1"/>
      <w:marLeft w:val="0"/>
      <w:marRight w:val="0"/>
      <w:marTop w:val="0"/>
      <w:marBottom w:val="0"/>
      <w:divBdr>
        <w:top w:val="none" w:sz="0" w:space="0" w:color="auto"/>
        <w:left w:val="none" w:sz="0" w:space="0" w:color="auto"/>
        <w:bottom w:val="none" w:sz="0" w:space="0" w:color="auto"/>
        <w:right w:val="none" w:sz="0" w:space="0" w:color="auto"/>
      </w:divBdr>
    </w:div>
    <w:div w:id="1879509131">
      <w:bodyDiv w:val="1"/>
      <w:marLeft w:val="0"/>
      <w:marRight w:val="0"/>
      <w:marTop w:val="0"/>
      <w:marBottom w:val="0"/>
      <w:divBdr>
        <w:top w:val="none" w:sz="0" w:space="0" w:color="auto"/>
        <w:left w:val="none" w:sz="0" w:space="0" w:color="auto"/>
        <w:bottom w:val="none" w:sz="0" w:space="0" w:color="auto"/>
        <w:right w:val="none" w:sz="0" w:space="0" w:color="auto"/>
      </w:divBdr>
    </w:div>
    <w:div w:id="1884251134">
      <w:bodyDiv w:val="1"/>
      <w:marLeft w:val="0"/>
      <w:marRight w:val="0"/>
      <w:marTop w:val="0"/>
      <w:marBottom w:val="0"/>
      <w:divBdr>
        <w:top w:val="none" w:sz="0" w:space="0" w:color="auto"/>
        <w:left w:val="none" w:sz="0" w:space="0" w:color="auto"/>
        <w:bottom w:val="none" w:sz="0" w:space="0" w:color="auto"/>
        <w:right w:val="none" w:sz="0" w:space="0" w:color="auto"/>
      </w:divBdr>
    </w:div>
    <w:div w:id="1886024601">
      <w:bodyDiv w:val="1"/>
      <w:marLeft w:val="0"/>
      <w:marRight w:val="0"/>
      <w:marTop w:val="0"/>
      <w:marBottom w:val="0"/>
      <w:divBdr>
        <w:top w:val="none" w:sz="0" w:space="0" w:color="auto"/>
        <w:left w:val="none" w:sz="0" w:space="0" w:color="auto"/>
        <w:bottom w:val="none" w:sz="0" w:space="0" w:color="auto"/>
        <w:right w:val="none" w:sz="0" w:space="0" w:color="auto"/>
      </w:divBdr>
    </w:div>
    <w:div w:id="1888373771">
      <w:bodyDiv w:val="1"/>
      <w:marLeft w:val="0"/>
      <w:marRight w:val="0"/>
      <w:marTop w:val="0"/>
      <w:marBottom w:val="0"/>
      <w:divBdr>
        <w:top w:val="none" w:sz="0" w:space="0" w:color="auto"/>
        <w:left w:val="none" w:sz="0" w:space="0" w:color="auto"/>
        <w:bottom w:val="none" w:sz="0" w:space="0" w:color="auto"/>
        <w:right w:val="none" w:sz="0" w:space="0" w:color="auto"/>
      </w:divBdr>
    </w:div>
    <w:div w:id="1925914729">
      <w:bodyDiv w:val="1"/>
      <w:marLeft w:val="0"/>
      <w:marRight w:val="0"/>
      <w:marTop w:val="0"/>
      <w:marBottom w:val="0"/>
      <w:divBdr>
        <w:top w:val="none" w:sz="0" w:space="0" w:color="auto"/>
        <w:left w:val="none" w:sz="0" w:space="0" w:color="auto"/>
        <w:bottom w:val="none" w:sz="0" w:space="0" w:color="auto"/>
        <w:right w:val="none" w:sz="0" w:space="0" w:color="auto"/>
      </w:divBdr>
    </w:div>
    <w:div w:id="1940795471">
      <w:bodyDiv w:val="1"/>
      <w:marLeft w:val="0"/>
      <w:marRight w:val="0"/>
      <w:marTop w:val="0"/>
      <w:marBottom w:val="0"/>
      <w:divBdr>
        <w:top w:val="none" w:sz="0" w:space="0" w:color="auto"/>
        <w:left w:val="none" w:sz="0" w:space="0" w:color="auto"/>
        <w:bottom w:val="none" w:sz="0" w:space="0" w:color="auto"/>
        <w:right w:val="none" w:sz="0" w:space="0" w:color="auto"/>
      </w:divBdr>
    </w:div>
    <w:div w:id="1979141917">
      <w:bodyDiv w:val="1"/>
      <w:marLeft w:val="0"/>
      <w:marRight w:val="0"/>
      <w:marTop w:val="0"/>
      <w:marBottom w:val="0"/>
      <w:divBdr>
        <w:top w:val="none" w:sz="0" w:space="0" w:color="auto"/>
        <w:left w:val="none" w:sz="0" w:space="0" w:color="auto"/>
        <w:bottom w:val="none" w:sz="0" w:space="0" w:color="auto"/>
        <w:right w:val="none" w:sz="0" w:space="0" w:color="auto"/>
      </w:divBdr>
    </w:div>
    <w:div w:id="2017146499">
      <w:bodyDiv w:val="1"/>
      <w:marLeft w:val="0"/>
      <w:marRight w:val="0"/>
      <w:marTop w:val="0"/>
      <w:marBottom w:val="0"/>
      <w:divBdr>
        <w:top w:val="none" w:sz="0" w:space="0" w:color="auto"/>
        <w:left w:val="none" w:sz="0" w:space="0" w:color="auto"/>
        <w:bottom w:val="none" w:sz="0" w:space="0" w:color="auto"/>
        <w:right w:val="none" w:sz="0" w:space="0" w:color="auto"/>
      </w:divBdr>
    </w:div>
    <w:div w:id="2044094948">
      <w:bodyDiv w:val="1"/>
      <w:marLeft w:val="0"/>
      <w:marRight w:val="0"/>
      <w:marTop w:val="0"/>
      <w:marBottom w:val="0"/>
      <w:divBdr>
        <w:top w:val="none" w:sz="0" w:space="0" w:color="auto"/>
        <w:left w:val="none" w:sz="0" w:space="0" w:color="auto"/>
        <w:bottom w:val="none" w:sz="0" w:space="0" w:color="auto"/>
        <w:right w:val="none" w:sz="0" w:space="0" w:color="auto"/>
      </w:divBdr>
    </w:div>
    <w:div w:id="2048793809">
      <w:bodyDiv w:val="1"/>
      <w:marLeft w:val="0"/>
      <w:marRight w:val="0"/>
      <w:marTop w:val="0"/>
      <w:marBottom w:val="0"/>
      <w:divBdr>
        <w:top w:val="none" w:sz="0" w:space="0" w:color="auto"/>
        <w:left w:val="none" w:sz="0" w:space="0" w:color="auto"/>
        <w:bottom w:val="none" w:sz="0" w:space="0" w:color="auto"/>
        <w:right w:val="none" w:sz="0" w:space="0" w:color="auto"/>
      </w:divBdr>
    </w:div>
    <w:div w:id="2058507792">
      <w:bodyDiv w:val="1"/>
      <w:marLeft w:val="0"/>
      <w:marRight w:val="0"/>
      <w:marTop w:val="0"/>
      <w:marBottom w:val="0"/>
      <w:divBdr>
        <w:top w:val="none" w:sz="0" w:space="0" w:color="auto"/>
        <w:left w:val="none" w:sz="0" w:space="0" w:color="auto"/>
        <w:bottom w:val="none" w:sz="0" w:space="0" w:color="auto"/>
        <w:right w:val="none" w:sz="0" w:space="0" w:color="auto"/>
      </w:divBdr>
    </w:div>
    <w:div w:id="2081126765">
      <w:bodyDiv w:val="1"/>
      <w:marLeft w:val="0"/>
      <w:marRight w:val="0"/>
      <w:marTop w:val="0"/>
      <w:marBottom w:val="0"/>
      <w:divBdr>
        <w:top w:val="none" w:sz="0" w:space="0" w:color="auto"/>
        <w:left w:val="none" w:sz="0" w:space="0" w:color="auto"/>
        <w:bottom w:val="none" w:sz="0" w:space="0" w:color="auto"/>
        <w:right w:val="none" w:sz="0" w:space="0" w:color="auto"/>
      </w:divBdr>
      <w:divsChild>
        <w:div w:id="1913156019">
          <w:marLeft w:val="547"/>
          <w:marRight w:val="0"/>
          <w:marTop w:val="200"/>
          <w:marBottom w:val="0"/>
          <w:divBdr>
            <w:top w:val="none" w:sz="0" w:space="0" w:color="auto"/>
            <w:left w:val="none" w:sz="0" w:space="0" w:color="auto"/>
            <w:bottom w:val="none" w:sz="0" w:space="0" w:color="auto"/>
            <w:right w:val="none" w:sz="0" w:space="0" w:color="auto"/>
          </w:divBdr>
        </w:div>
      </w:divsChild>
    </w:div>
    <w:div w:id="2086687814">
      <w:bodyDiv w:val="1"/>
      <w:marLeft w:val="0"/>
      <w:marRight w:val="0"/>
      <w:marTop w:val="0"/>
      <w:marBottom w:val="0"/>
      <w:divBdr>
        <w:top w:val="none" w:sz="0" w:space="0" w:color="auto"/>
        <w:left w:val="none" w:sz="0" w:space="0" w:color="auto"/>
        <w:bottom w:val="none" w:sz="0" w:space="0" w:color="auto"/>
        <w:right w:val="none" w:sz="0" w:space="0" w:color="auto"/>
      </w:divBdr>
    </w:div>
    <w:div w:id="2100129105">
      <w:bodyDiv w:val="1"/>
      <w:marLeft w:val="0"/>
      <w:marRight w:val="0"/>
      <w:marTop w:val="0"/>
      <w:marBottom w:val="0"/>
      <w:divBdr>
        <w:top w:val="none" w:sz="0" w:space="0" w:color="auto"/>
        <w:left w:val="none" w:sz="0" w:space="0" w:color="auto"/>
        <w:bottom w:val="none" w:sz="0" w:space="0" w:color="auto"/>
        <w:right w:val="none" w:sz="0" w:space="0" w:color="auto"/>
      </w:divBdr>
    </w:div>
    <w:div w:id="2101489789">
      <w:bodyDiv w:val="1"/>
      <w:marLeft w:val="0"/>
      <w:marRight w:val="0"/>
      <w:marTop w:val="0"/>
      <w:marBottom w:val="0"/>
      <w:divBdr>
        <w:top w:val="none" w:sz="0" w:space="0" w:color="auto"/>
        <w:left w:val="none" w:sz="0" w:space="0" w:color="auto"/>
        <w:bottom w:val="none" w:sz="0" w:space="0" w:color="auto"/>
        <w:right w:val="none" w:sz="0" w:space="0" w:color="auto"/>
      </w:divBdr>
    </w:div>
    <w:div w:id="2127888873">
      <w:bodyDiv w:val="1"/>
      <w:marLeft w:val="0"/>
      <w:marRight w:val="0"/>
      <w:marTop w:val="0"/>
      <w:marBottom w:val="0"/>
      <w:divBdr>
        <w:top w:val="none" w:sz="0" w:space="0" w:color="auto"/>
        <w:left w:val="none" w:sz="0" w:space="0" w:color="auto"/>
        <w:bottom w:val="none" w:sz="0" w:space="0" w:color="auto"/>
        <w:right w:val="none" w:sz="0" w:space="0" w:color="auto"/>
      </w:divBdr>
    </w:div>
    <w:div w:id="21423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tom.pristupinfo.hr/pregledfilter1.php" TargetMode="External"/><Relationship Id="rId26" Type="http://schemas.openxmlformats.org/officeDocument/2006/relationships/chart" Target="charts/chart8.xml"/><Relationship Id="rId39" Type="http://schemas.openxmlformats.org/officeDocument/2006/relationships/hyperlink" Target="http://data.nsk.hr" TargetMode="Externa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3.xml"/><Relationship Id="rId42" Type="http://schemas.openxmlformats.org/officeDocument/2006/relationships/hyperlink" Target="https://www.pristupinfo.hr/pravni-okvir/upute-smjernice-obrasci/"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tom.pristupinfo.hr/pregledfilter1.php" TargetMode="External"/><Relationship Id="rId25" Type="http://schemas.openxmlformats.org/officeDocument/2006/relationships/chart" Target="charts/chart7.xml"/><Relationship Id="rId33" Type="http://schemas.openxmlformats.org/officeDocument/2006/relationships/chart" Target="charts/chart12.xml"/><Relationship Id="rId38" Type="http://schemas.openxmlformats.org/officeDocument/2006/relationships/hyperlink" Target="http://opendata.virovitica.hr"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m.pristupinfo.hr/pregledfilter1.php" TargetMode="External"/><Relationship Id="rId20" Type="http://schemas.openxmlformats.org/officeDocument/2006/relationships/chart" Target="charts/chart2.xml"/><Relationship Id="rId29" Type="http://schemas.openxmlformats.org/officeDocument/2006/relationships/chart" Target="charts/chart11.xml"/><Relationship Id="rId41" Type="http://schemas.openxmlformats.org/officeDocument/2006/relationships/hyperlink" Target="http://www.pristupinf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6.xml"/><Relationship Id="rId32" Type="http://schemas.openxmlformats.org/officeDocument/2006/relationships/hyperlink" Target="http://www.digured.hr/" TargetMode="External"/><Relationship Id="rId37" Type="http://schemas.openxmlformats.org/officeDocument/2006/relationships/hyperlink" Target="http://data.zagreb.hr/" TargetMode="External"/><Relationship Id="rId40" Type="http://schemas.openxmlformats.org/officeDocument/2006/relationships/hyperlink" Target="http://www.pristupinfo.hr/"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om.pristupinfo.hr/"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hyperlink" Target="http://data.rijeka.hr/" TargetMode="External"/><Relationship Id="rId10" Type="http://schemas.openxmlformats.org/officeDocument/2006/relationships/image" Target="media/image1.png"/><Relationship Id="rId19" Type="http://schemas.openxmlformats.org/officeDocument/2006/relationships/hyperlink" Target="http://vusrh.hr/sudska-praksa/odluke-pravo-na-pristup-informacijama/" TargetMode="External"/><Relationship Id="rId31" Type="http://schemas.openxmlformats.org/officeDocument/2006/relationships/hyperlink" Target="http://www.ijf.hr"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hyperlink" Target="https://www.pristupinfo.hr/dokumenti-i-publikacije/analiticka-izvjesca/" TargetMode="External"/><Relationship Id="rId35" Type="http://schemas.openxmlformats.org/officeDocument/2006/relationships/chart" Target="charts/chart14.xml"/><Relationship Id="rId43" Type="http://schemas.openxmlformats.org/officeDocument/2006/relationships/hyperlink" Target="http://www.pristupinfo.hr"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Ppi\d\POVINFO_JAVNI\0%20GODI&#352;NJE%20IZVJE&#352;&#262;E%20ZA%202019\STATISTIKA\Statistika%202019%20-%20radno.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Ppi\d\POVINFO_JAVNI\0%20GODI&#352;NJE%20IZVJE&#352;&#262;E%20ZA%202019\STATISTIKA\Statistika%202019%20-%20radno.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Ppi\d\POVINFO_JAVNI\0%20GODI&#352;NJE%20IZVJE&#352;&#262;E%20ZA%202019\STATISTIKA\Statistika%202019%20-%20radno.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elisha\AppData\Local\Temp\predstavk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esktop\Godi&#353;nje%20izvje&#353;&#263;e\Predstavke%20za%20izvje&#353;&#263;e.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Desktop\Godi&#353;nje%20izvje&#353;&#263;e\Predstavke%20za%20izvje&#353;&#263;e.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elisha\Desktop\Plan%20i%20izvr&#353;enje%20nadzora%20za%202019.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Ppi\d\POVINFO_JAVNI\0%20GODI&#352;NJE%20IZVJE&#352;&#262;E%20ZA%202019\STATISTIKA\Statistika%202019%20-%20radno.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Ppi\d\POVINFO_JAVNI\0%20GODI&#352;NJE%20IZVJE&#352;&#262;E%20ZA%202019\STATISTIKA\Statistika%202019%20-%20radno.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Ppi\d\POVINFO_JAVNI\0%20GODI&#352;NJE%20IZVJE&#352;&#262;E%20ZA%202019\STATISTIKA\Statistika%202019%20-%20radno.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Ppi\d\POVINFO_JAVNI\0%20GODI&#352;NJE%20IZVJE&#352;&#262;E%20ZA%202019\STATISTIKA\Statistika%202019%20-%20radno.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Broj TJV koja su dostavila izvješće</c:v>
          </c:tx>
          <c:spPr>
            <a:effectLst>
              <a:outerShdw blurRad="50800" dist="101600" dir="2700000" sx="101000" sy="101000" algn="tl" rotWithShape="0">
                <a:prstClr val="black">
                  <a:alpha val="40000"/>
                </a:prstClr>
              </a:outerShdw>
            </a:effectLst>
          </c:spPr>
          <c:invertIfNegative val="0"/>
          <c:dLbls>
            <c:spPr>
              <a:noFill/>
              <a:ln>
                <a:noFill/>
              </a:ln>
              <a:effectLst>
                <a:outerShdw blurRad="50800" dist="38100" dir="2700000" algn="tl" rotWithShape="0">
                  <a:prstClr val="black">
                    <a:alpha val="40000"/>
                  </a:prstClr>
                </a:outerShdw>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Statistika!$D$6:$D$12</c:f>
              <c:numCache>
                <c:formatCode>General</c:formatCode>
                <c:ptCount val="7"/>
                <c:pt idx="0">
                  <c:v>2013</c:v>
                </c:pt>
                <c:pt idx="1">
                  <c:v>2014</c:v>
                </c:pt>
                <c:pt idx="2">
                  <c:v>2015</c:v>
                </c:pt>
                <c:pt idx="3">
                  <c:v>2016</c:v>
                </c:pt>
                <c:pt idx="4">
                  <c:v>2017</c:v>
                </c:pt>
                <c:pt idx="5">
                  <c:v>2018</c:v>
                </c:pt>
                <c:pt idx="6">
                  <c:v>2019</c:v>
                </c:pt>
              </c:numCache>
            </c:numRef>
          </c:cat>
          <c:val>
            <c:numRef>
              <c:f>Statistika!$E$6:$E$12</c:f>
              <c:numCache>
                <c:formatCode>#,##0</c:formatCode>
                <c:ptCount val="7"/>
                <c:pt idx="0">
                  <c:v>3462</c:v>
                </c:pt>
                <c:pt idx="1">
                  <c:v>4058</c:v>
                </c:pt>
                <c:pt idx="2">
                  <c:v>4539</c:v>
                </c:pt>
                <c:pt idx="3">
                  <c:v>4759</c:v>
                </c:pt>
                <c:pt idx="4">
                  <c:v>4683</c:v>
                </c:pt>
                <c:pt idx="5">
                  <c:v>4856</c:v>
                </c:pt>
                <c:pt idx="6">
                  <c:v>4985</c:v>
                </c:pt>
              </c:numCache>
            </c:numRef>
          </c:val>
          <c:extLst>
            <c:ext xmlns:c16="http://schemas.microsoft.com/office/drawing/2014/chart" uri="{C3380CC4-5D6E-409C-BE32-E72D297353CC}">
              <c16:uniqueId val="{00000000-0898-4517-B08C-4B1241379685}"/>
            </c:ext>
          </c:extLst>
        </c:ser>
        <c:ser>
          <c:idx val="1"/>
          <c:order val="1"/>
          <c:tx>
            <c:v>Broj TJV koja nisu dostavila izvješće</c:v>
          </c:tx>
          <c:spPr>
            <a:effectLst>
              <a:outerShdw blurRad="50800" dist="101600" dir="2700000" sx="101000" sy="101000" algn="tl" rotWithShape="0">
                <a:prstClr val="black">
                  <a:alpha val="40000"/>
                </a:prstClr>
              </a:outerShdw>
            </a:effectLst>
          </c:spPr>
          <c:invertIfNegative val="0"/>
          <c:dLbls>
            <c:spPr>
              <a:noFill/>
              <a:effectLst>
                <a:outerShdw blurRad="50800" dist="38100" dir="2700000" algn="tl" rotWithShape="0">
                  <a:prstClr val="black">
                    <a:alpha val="40000"/>
                  </a:prstClr>
                </a:outerShdw>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Statistika!$D$6:$D$12</c:f>
              <c:numCache>
                <c:formatCode>General</c:formatCode>
                <c:ptCount val="7"/>
                <c:pt idx="0">
                  <c:v>2013</c:v>
                </c:pt>
                <c:pt idx="1">
                  <c:v>2014</c:v>
                </c:pt>
                <c:pt idx="2">
                  <c:v>2015</c:v>
                </c:pt>
                <c:pt idx="3">
                  <c:v>2016</c:v>
                </c:pt>
                <c:pt idx="4">
                  <c:v>2017</c:v>
                </c:pt>
                <c:pt idx="5">
                  <c:v>2018</c:v>
                </c:pt>
                <c:pt idx="6">
                  <c:v>2019</c:v>
                </c:pt>
              </c:numCache>
            </c:numRef>
          </c:cat>
          <c:val>
            <c:numRef>
              <c:f>Statistika!$H$6:$H$12</c:f>
              <c:numCache>
                <c:formatCode>#,##0</c:formatCode>
                <c:ptCount val="7"/>
                <c:pt idx="0">
                  <c:v>2456</c:v>
                </c:pt>
                <c:pt idx="1">
                  <c:v>1636</c:v>
                </c:pt>
                <c:pt idx="2">
                  <c:v>1401</c:v>
                </c:pt>
                <c:pt idx="3">
                  <c:v>1114</c:v>
                </c:pt>
                <c:pt idx="4">
                  <c:v>1176</c:v>
                </c:pt>
                <c:pt idx="5">
                  <c:v>941</c:v>
                </c:pt>
                <c:pt idx="6">
                  <c:v>823</c:v>
                </c:pt>
              </c:numCache>
            </c:numRef>
          </c:val>
          <c:extLst>
            <c:ext xmlns:c16="http://schemas.microsoft.com/office/drawing/2014/chart" uri="{C3380CC4-5D6E-409C-BE32-E72D297353CC}">
              <c16:uniqueId val="{00000001-0898-4517-B08C-4B1241379685}"/>
            </c:ext>
          </c:extLst>
        </c:ser>
        <c:dLbls>
          <c:showLegendKey val="0"/>
          <c:showVal val="1"/>
          <c:showCatName val="0"/>
          <c:showSerName val="0"/>
          <c:showPercent val="0"/>
          <c:showBubbleSize val="0"/>
        </c:dLbls>
        <c:gapWidth val="150"/>
        <c:overlap val="100"/>
        <c:axId val="290146304"/>
        <c:axId val="245603072"/>
      </c:barChart>
      <c:lineChart>
        <c:grouping val="standard"/>
        <c:varyColors val="0"/>
        <c:ser>
          <c:idx val="2"/>
          <c:order val="2"/>
          <c:tx>
            <c:v>Ukupno</c:v>
          </c:tx>
          <c:spPr>
            <a:ln>
              <a:noFill/>
            </a:ln>
          </c:spPr>
          <c:marker>
            <c:symbol val="none"/>
          </c:marker>
          <c:dLbls>
            <c:spPr>
              <a:solidFill>
                <a:schemeClr val="bg1"/>
              </a:solidFill>
              <a:ln>
                <a:noFill/>
              </a:ln>
              <a:effectLst>
                <a:outerShdw blurRad="50800" dist="38100" dir="2700000" algn="tl" rotWithShape="0">
                  <a:prstClr val="black">
                    <a:alpha val="40000"/>
                  </a:prstClr>
                </a:outerShdw>
              </a:effectLst>
            </c:sp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numRef>
              <c:f>Statistika!$G$6:$G$12</c:f>
              <c:numCache>
                <c:formatCode>0.00%</c:formatCode>
                <c:ptCount val="7"/>
                <c:pt idx="0">
                  <c:v>0.58499493071983777</c:v>
                </c:pt>
                <c:pt idx="1">
                  <c:v>0.71268001404987724</c:v>
                </c:pt>
                <c:pt idx="2">
                  <c:v>0.76414141414141434</c:v>
                </c:pt>
                <c:pt idx="3">
                  <c:v>0.81031840626596274</c:v>
                </c:pt>
                <c:pt idx="4">
                  <c:v>0.79928315412186368</c:v>
                </c:pt>
                <c:pt idx="5">
                  <c:v>0.83767465930653795</c:v>
                </c:pt>
                <c:pt idx="6">
                  <c:v>0.8582988980716254</c:v>
                </c:pt>
              </c:numCache>
            </c:numRef>
          </c:cat>
          <c:val>
            <c:numRef>
              <c:f>Statistika!$F$6:$F$12</c:f>
              <c:numCache>
                <c:formatCode>#,##0</c:formatCode>
                <c:ptCount val="7"/>
                <c:pt idx="0">
                  <c:v>5918</c:v>
                </c:pt>
                <c:pt idx="1">
                  <c:v>5694</c:v>
                </c:pt>
                <c:pt idx="2">
                  <c:v>5940</c:v>
                </c:pt>
                <c:pt idx="3">
                  <c:v>5873</c:v>
                </c:pt>
                <c:pt idx="4">
                  <c:v>5859</c:v>
                </c:pt>
                <c:pt idx="5">
                  <c:v>5797</c:v>
                </c:pt>
                <c:pt idx="6">
                  <c:v>5808</c:v>
                </c:pt>
              </c:numCache>
            </c:numRef>
          </c:val>
          <c:smooth val="0"/>
          <c:extLst>
            <c:ext xmlns:c16="http://schemas.microsoft.com/office/drawing/2014/chart" uri="{C3380CC4-5D6E-409C-BE32-E72D297353CC}">
              <c16:uniqueId val="{00000002-0898-4517-B08C-4B1241379685}"/>
            </c:ext>
          </c:extLst>
        </c:ser>
        <c:ser>
          <c:idx val="3"/>
          <c:order val="3"/>
          <c:tx>
            <c:v>Postoci</c:v>
          </c:tx>
          <c:spPr>
            <a:ln w="28575">
              <a:noFill/>
            </a:ln>
          </c:spPr>
          <c:marker>
            <c:symbol val="none"/>
          </c:marker>
          <c:dLbls>
            <c:spPr>
              <a:effectLst>
                <a:outerShdw blurRad="50800" dist="38100" dir="2700000" algn="tl" rotWithShape="0">
                  <a:schemeClr val="tx1">
                    <a:alpha val="40000"/>
                  </a:schemeClr>
                </a:outerShdw>
              </a:effectLst>
            </c:spPr>
            <c:txPr>
              <a:bodyPr/>
              <a:lstStyle/>
              <a:p>
                <a:pPr>
                  <a:defRPr sz="900" b="1"/>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Statistika!$G$6:$G$12</c:f>
              <c:numCache>
                <c:formatCode>0.00%</c:formatCode>
                <c:ptCount val="7"/>
                <c:pt idx="0">
                  <c:v>0.58499493071983777</c:v>
                </c:pt>
                <c:pt idx="1">
                  <c:v>0.71268001404987724</c:v>
                </c:pt>
                <c:pt idx="2">
                  <c:v>0.76414141414141434</c:v>
                </c:pt>
                <c:pt idx="3">
                  <c:v>0.81031840626596274</c:v>
                </c:pt>
                <c:pt idx="4">
                  <c:v>0.79928315412186368</c:v>
                </c:pt>
                <c:pt idx="5">
                  <c:v>0.83767465930653795</c:v>
                </c:pt>
                <c:pt idx="6">
                  <c:v>0.8582988980716254</c:v>
                </c:pt>
              </c:numCache>
            </c:numRef>
          </c:val>
          <c:smooth val="0"/>
          <c:extLst>
            <c:ext xmlns:c16="http://schemas.microsoft.com/office/drawing/2014/chart" uri="{C3380CC4-5D6E-409C-BE32-E72D297353CC}">
              <c16:uniqueId val="{00000003-0898-4517-B08C-4B1241379685}"/>
            </c:ext>
          </c:extLst>
        </c:ser>
        <c:dLbls>
          <c:showLegendKey val="0"/>
          <c:showVal val="1"/>
          <c:showCatName val="0"/>
          <c:showSerName val="0"/>
          <c:showPercent val="0"/>
          <c:showBubbleSize val="0"/>
        </c:dLbls>
        <c:marker val="1"/>
        <c:smooth val="0"/>
        <c:axId val="290146304"/>
        <c:axId val="245603072"/>
      </c:lineChart>
      <c:catAx>
        <c:axId val="290146304"/>
        <c:scaling>
          <c:orientation val="minMax"/>
        </c:scaling>
        <c:delete val="0"/>
        <c:axPos val="b"/>
        <c:numFmt formatCode="General" sourceLinked="0"/>
        <c:majorTickMark val="out"/>
        <c:minorTickMark val="none"/>
        <c:tickLblPos val="nextTo"/>
        <c:crossAx val="245603072"/>
        <c:crosses val="autoZero"/>
        <c:auto val="1"/>
        <c:lblAlgn val="ctr"/>
        <c:lblOffset val="100"/>
        <c:noMultiLvlLbl val="0"/>
      </c:catAx>
      <c:valAx>
        <c:axId val="245603072"/>
        <c:scaling>
          <c:orientation val="minMax"/>
        </c:scaling>
        <c:delete val="0"/>
        <c:axPos val="l"/>
        <c:majorGridlines/>
        <c:numFmt formatCode="#,##0" sourceLinked="1"/>
        <c:majorTickMark val="out"/>
        <c:minorTickMark val="none"/>
        <c:tickLblPos val="nextTo"/>
        <c:crossAx val="290146304"/>
        <c:crosses val="autoZero"/>
        <c:crossBetween val="between"/>
      </c:valAx>
    </c:plotArea>
    <c:legend>
      <c:legendPos val="b"/>
      <c:legendEntry>
        <c:idx val="2"/>
        <c:delete val="1"/>
      </c:legendEntry>
      <c:legendEntry>
        <c:idx val="3"/>
        <c:delete val="1"/>
      </c:legendEntry>
      <c:overlay val="0"/>
    </c:legend>
    <c:plotVisOnly val="1"/>
    <c:dispBlanksAs val="gap"/>
    <c:showDLblsOverMax val="0"/>
  </c:chart>
  <c:spPr>
    <a:ln>
      <a:noFill/>
    </a:ln>
  </c:spPr>
  <c:txPr>
    <a:bodyPr/>
    <a:lstStyle/>
    <a:p>
      <a:pPr>
        <a:defRPr sz="900">
          <a:latin typeface="Gill Sans MT" pitchFamily="34" charset="-18"/>
        </a:defRPr>
      </a:pPr>
      <a:endParaRPr lang="sr-Latn-R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v>Da</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Nova'!$A$32:$A$35</c:f>
              <c:strCache>
                <c:ptCount val="4"/>
                <c:pt idx="0">
                  <c:v>objava informacija o formalnim radnim tijelima</c:v>
                </c:pt>
                <c:pt idx="1">
                  <c:v>objava zaključaka sa službenih sjednica</c:v>
                </c:pt>
                <c:pt idx="2">
                  <c:v>objava informacija o mogućnostima neposrednog uvida</c:v>
                </c:pt>
                <c:pt idx="3">
                  <c:v>objava dnevnih redova zasjednja/sjednica</c:v>
                </c:pt>
              </c:strCache>
            </c:strRef>
          </c:cat>
          <c:val>
            <c:numRef>
              <c:f>'Proaktivna Nova'!$B$32:$B$35</c:f>
              <c:numCache>
                <c:formatCode>General</c:formatCode>
                <c:ptCount val="4"/>
                <c:pt idx="0">
                  <c:v>1799</c:v>
                </c:pt>
                <c:pt idx="1">
                  <c:v>2202</c:v>
                </c:pt>
                <c:pt idx="2">
                  <c:v>1210</c:v>
                </c:pt>
                <c:pt idx="3">
                  <c:v>2013</c:v>
                </c:pt>
              </c:numCache>
            </c:numRef>
          </c:val>
          <c:extLst>
            <c:ext xmlns:c16="http://schemas.microsoft.com/office/drawing/2014/chart" uri="{C3380CC4-5D6E-409C-BE32-E72D297353CC}">
              <c16:uniqueId val="{00000000-FE38-4473-AABB-E2F8D174F763}"/>
            </c:ext>
          </c:extLst>
        </c:ser>
        <c:ser>
          <c:idx val="1"/>
          <c:order val="1"/>
          <c:tx>
            <c:v>Ne</c:v>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Nova'!$A$32:$A$35</c:f>
              <c:strCache>
                <c:ptCount val="4"/>
                <c:pt idx="0">
                  <c:v>objava informacija o formalnim radnim tijelima</c:v>
                </c:pt>
                <c:pt idx="1">
                  <c:v>objava zaključaka sa službenih sjednica</c:v>
                </c:pt>
                <c:pt idx="2">
                  <c:v>objava informacija o mogućnostima neposrednog uvida</c:v>
                </c:pt>
                <c:pt idx="3">
                  <c:v>objava dnevnih redova zasjednja/sjednica</c:v>
                </c:pt>
              </c:strCache>
            </c:strRef>
          </c:cat>
          <c:val>
            <c:numRef>
              <c:f>'Proaktivna Nova'!$C$32:$C$35</c:f>
              <c:numCache>
                <c:formatCode>General</c:formatCode>
                <c:ptCount val="4"/>
                <c:pt idx="0">
                  <c:v>1808</c:v>
                </c:pt>
                <c:pt idx="1">
                  <c:v>1666</c:v>
                </c:pt>
                <c:pt idx="2">
                  <c:v>2548</c:v>
                </c:pt>
                <c:pt idx="3">
                  <c:v>1884</c:v>
                </c:pt>
              </c:numCache>
            </c:numRef>
          </c:val>
          <c:extLst>
            <c:ext xmlns:c16="http://schemas.microsoft.com/office/drawing/2014/chart" uri="{C3380CC4-5D6E-409C-BE32-E72D297353CC}">
              <c16:uniqueId val="{00000001-FE38-4473-AABB-E2F8D174F763}"/>
            </c:ext>
          </c:extLst>
        </c:ser>
        <c:ser>
          <c:idx val="2"/>
          <c:order val="2"/>
          <c:tx>
            <c:v>Djelomično</c:v>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Nova'!$A$32:$A$35</c:f>
              <c:strCache>
                <c:ptCount val="4"/>
                <c:pt idx="0">
                  <c:v>objava informacija o formalnim radnim tijelima</c:v>
                </c:pt>
                <c:pt idx="1">
                  <c:v>objava zaključaka sa službenih sjednica</c:v>
                </c:pt>
                <c:pt idx="2">
                  <c:v>objava informacija o mogućnostima neposrednog uvida</c:v>
                </c:pt>
                <c:pt idx="3">
                  <c:v>objava dnevnih redova zasjednja/sjednica</c:v>
                </c:pt>
              </c:strCache>
            </c:strRef>
          </c:cat>
          <c:val>
            <c:numRef>
              <c:f>'Proaktivna Nova'!$D$32:$D$35</c:f>
              <c:numCache>
                <c:formatCode>General</c:formatCode>
                <c:ptCount val="4"/>
                <c:pt idx="0">
                  <c:v>543</c:v>
                </c:pt>
                <c:pt idx="1">
                  <c:v>548</c:v>
                </c:pt>
                <c:pt idx="2">
                  <c:v>379</c:v>
                </c:pt>
                <c:pt idx="3">
                  <c:v>446</c:v>
                </c:pt>
              </c:numCache>
            </c:numRef>
          </c:val>
          <c:extLst>
            <c:ext xmlns:c16="http://schemas.microsoft.com/office/drawing/2014/chart" uri="{C3380CC4-5D6E-409C-BE32-E72D297353CC}">
              <c16:uniqueId val="{00000002-FE38-4473-AABB-E2F8D174F763}"/>
            </c:ext>
          </c:extLst>
        </c:ser>
        <c:ser>
          <c:idx val="3"/>
          <c:order val="3"/>
          <c:tx>
            <c:v>Nije primjenjivo</c:v>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Nova'!$A$32:$A$35</c:f>
              <c:strCache>
                <c:ptCount val="4"/>
                <c:pt idx="0">
                  <c:v>objava informacija o formalnim radnim tijelima</c:v>
                </c:pt>
                <c:pt idx="1">
                  <c:v>objava zaključaka sa službenih sjednica</c:v>
                </c:pt>
                <c:pt idx="2">
                  <c:v>objava informacija o mogućnostima neposrednog uvida</c:v>
                </c:pt>
                <c:pt idx="3">
                  <c:v>objava dnevnih redova zasjednja/sjednica</c:v>
                </c:pt>
              </c:strCache>
            </c:strRef>
          </c:cat>
          <c:val>
            <c:numRef>
              <c:f>'Proaktivna Nova'!$E$32:$E$35</c:f>
              <c:numCache>
                <c:formatCode>General</c:formatCode>
                <c:ptCount val="4"/>
                <c:pt idx="0">
                  <c:v>835</c:v>
                </c:pt>
                <c:pt idx="1">
                  <c:v>569</c:v>
                </c:pt>
                <c:pt idx="2">
                  <c:v>848</c:v>
                </c:pt>
                <c:pt idx="3">
                  <c:v>642</c:v>
                </c:pt>
              </c:numCache>
            </c:numRef>
          </c:val>
          <c:extLst>
            <c:ext xmlns:c16="http://schemas.microsoft.com/office/drawing/2014/chart" uri="{C3380CC4-5D6E-409C-BE32-E72D297353CC}">
              <c16:uniqueId val="{00000003-FE38-4473-AABB-E2F8D174F763}"/>
            </c:ext>
          </c:extLst>
        </c:ser>
        <c:dLbls>
          <c:showLegendKey val="0"/>
          <c:showVal val="0"/>
          <c:showCatName val="0"/>
          <c:showSerName val="0"/>
          <c:showPercent val="0"/>
          <c:showBubbleSize val="0"/>
        </c:dLbls>
        <c:gapWidth val="150"/>
        <c:shape val="cylinder"/>
        <c:axId val="310853632"/>
        <c:axId val="312252608"/>
        <c:axId val="0"/>
      </c:bar3DChart>
      <c:catAx>
        <c:axId val="310853632"/>
        <c:scaling>
          <c:orientation val="minMax"/>
        </c:scaling>
        <c:delete val="0"/>
        <c:axPos val="l"/>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crossAx val="312252608"/>
        <c:crosses val="autoZero"/>
        <c:auto val="1"/>
        <c:lblAlgn val="ctr"/>
        <c:lblOffset val="100"/>
        <c:noMultiLvlLbl val="0"/>
      </c:catAx>
      <c:valAx>
        <c:axId val="312252608"/>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crossAx val="31085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legend>
    <c:plotVisOnly val="1"/>
    <c:dispBlanksAs val="gap"/>
    <c:showDLblsOverMax val="0"/>
  </c:chart>
  <c:spPr>
    <a:solidFill>
      <a:schemeClr val="bg1"/>
    </a:solidFill>
    <a:ln w="6350" cap="flat" cmpd="sng" algn="ctr">
      <a:noFill/>
      <a:prstDash val="solid"/>
      <a:round/>
    </a:ln>
    <a:effectLst/>
  </c:spPr>
  <c:txPr>
    <a:bodyPr/>
    <a:lstStyle/>
    <a:p>
      <a:pPr>
        <a:defRPr sz="900" b="1">
          <a:latin typeface="Gill Sans MT" pitchFamily="34" charset="-18"/>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v>Da</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Nova'!$A$38:$A$43</c:f>
              <c:strCache>
                <c:ptCount val="6"/>
                <c:pt idx="0">
                  <c:v>objava Kriterija ili poveznice na Kriterije</c:v>
                </c:pt>
                <c:pt idx="1">
                  <c:v>objava obrasca zahtjeva za dopunu ili ispravak </c:v>
                </c:pt>
                <c:pt idx="2">
                  <c:v>objava obrasca zahtjeva za ponovnu uporabu</c:v>
                </c:pt>
                <c:pt idx="3">
                  <c:v>objava obrasca zahtjeva za pristup informacijama</c:v>
                </c:pt>
                <c:pt idx="4">
                  <c:v>objava podataka za kontakt službenika za informiranje</c:v>
                </c:pt>
                <c:pt idx="5">
                  <c:v>objava obavijesti o načinu i uvjetima ostvarivanja prava na pristup i ponovnu uporabu</c:v>
                </c:pt>
              </c:strCache>
            </c:strRef>
          </c:cat>
          <c:val>
            <c:numRef>
              <c:f>'Proaktivna Nova'!$B$38:$B$43</c:f>
              <c:numCache>
                <c:formatCode>General</c:formatCode>
                <c:ptCount val="6"/>
                <c:pt idx="0">
                  <c:v>2306</c:v>
                </c:pt>
                <c:pt idx="1">
                  <c:v>3197</c:v>
                </c:pt>
                <c:pt idx="2">
                  <c:v>3411</c:v>
                </c:pt>
                <c:pt idx="3">
                  <c:v>4054</c:v>
                </c:pt>
                <c:pt idx="4">
                  <c:v>4474</c:v>
                </c:pt>
                <c:pt idx="5">
                  <c:v>4174</c:v>
                </c:pt>
              </c:numCache>
            </c:numRef>
          </c:val>
          <c:extLst>
            <c:ext xmlns:c16="http://schemas.microsoft.com/office/drawing/2014/chart" uri="{C3380CC4-5D6E-409C-BE32-E72D297353CC}">
              <c16:uniqueId val="{00000000-71C6-4EF3-B881-B6464DCF7B3E}"/>
            </c:ext>
          </c:extLst>
        </c:ser>
        <c:ser>
          <c:idx val="1"/>
          <c:order val="1"/>
          <c:tx>
            <c:v>Ne</c:v>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Nova'!$A$38:$A$43</c:f>
              <c:strCache>
                <c:ptCount val="6"/>
                <c:pt idx="0">
                  <c:v>objava Kriterija ili poveznice na Kriterije</c:v>
                </c:pt>
                <c:pt idx="1">
                  <c:v>objava obrasca zahtjeva za dopunu ili ispravak </c:v>
                </c:pt>
                <c:pt idx="2">
                  <c:v>objava obrasca zahtjeva za ponovnu uporabu</c:v>
                </c:pt>
                <c:pt idx="3">
                  <c:v>objava obrasca zahtjeva za pristup informacijama</c:v>
                </c:pt>
                <c:pt idx="4">
                  <c:v>objava podataka za kontakt službenika za informiranje</c:v>
                </c:pt>
                <c:pt idx="5">
                  <c:v>objava obavijesti o načinu i uvjetima ostvarivanja prava na pristup i ponovnu uporabu</c:v>
                </c:pt>
              </c:strCache>
            </c:strRef>
          </c:cat>
          <c:val>
            <c:numRef>
              <c:f>'Proaktivna Nova'!$C$38:$C$43</c:f>
              <c:numCache>
                <c:formatCode>General</c:formatCode>
                <c:ptCount val="6"/>
                <c:pt idx="0">
                  <c:v>2679</c:v>
                </c:pt>
                <c:pt idx="1">
                  <c:v>1788</c:v>
                </c:pt>
                <c:pt idx="2">
                  <c:v>1574</c:v>
                </c:pt>
                <c:pt idx="3">
                  <c:v>931</c:v>
                </c:pt>
                <c:pt idx="4">
                  <c:v>511</c:v>
                </c:pt>
                <c:pt idx="5">
                  <c:v>605</c:v>
                </c:pt>
              </c:numCache>
            </c:numRef>
          </c:val>
          <c:extLst>
            <c:ext xmlns:c16="http://schemas.microsoft.com/office/drawing/2014/chart" uri="{C3380CC4-5D6E-409C-BE32-E72D297353CC}">
              <c16:uniqueId val="{00000001-71C6-4EF3-B881-B6464DCF7B3E}"/>
            </c:ext>
          </c:extLst>
        </c:ser>
        <c:ser>
          <c:idx val="2"/>
          <c:order val="2"/>
          <c:tx>
            <c:v>Djelomično</c:v>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Nova'!$A$38:$A$43</c:f>
              <c:strCache>
                <c:ptCount val="6"/>
                <c:pt idx="0">
                  <c:v>objava Kriterija ili poveznice na Kriterije</c:v>
                </c:pt>
                <c:pt idx="1">
                  <c:v>objava obrasca zahtjeva za dopunu ili ispravak </c:v>
                </c:pt>
                <c:pt idx="2">
                  <c:v>objava obrasca zahtjeva za ponovnu uporabu</c:v>
                </c:pt>
                <c:pt idx="3">
                  <c:v>objava obrasca zahtjeva za pristup informacijama</c:v>
                </c:pt>
                <c:pt idx="4">
                  <c:v>objava podataka za kontakt službenika za informiranje</c:v>
                </c:pt>
                <c:pt idx="5">
                  <c:v>objava obavijesti o načinu i uvjetima ostvarivanja prava na pristup i ponovnu uporabu</c:v>
                </c:pt>
              </c:strCache>
            </c:strRef>
          </c:cat>
          <c:val>
            <c:numRef>
              <c:f>'Proaktivna Nova'!$D$38:$D$43</c:f>
              <c:numCache>
                <c:formatCode>General</c:formatCode>
                <c:ptCount val="6"/>
                <c:pt idx="5">
                  <c:v>206</c:v>
                </c:pt>
              </c:numCache>
            </c:numRef>
          </c:val>
          <c:extLst>
            <c:ext xmlns:c16="http://schemas.microsoft.com/office/drawing/2014/chart" uri="{C3380CC4-5D6E-409C-BE32-E72D297353CC}">
              <c16:uniqueId val="{00000002-71C6-4EF3-B881-B6464DCF7B3E}"/>
            </c:ext>
          </c:extLst>
        </c:ser>
        <c:dLbls>
          <c:showLegendKey val="0"/>
          <c:showVal val="0"/>
          <c:showCatName val="0"/>
          <c:showSerName val="0"/>
          <c:showPercent val="0"/>
          <c:showBubbleSize val="0"/>
        </c:dLbls>
        <c:gapWidth val="150"/>
        <c:shape val="cylinder"/>
        <c:axId val="310855168"/>
        <c:axId val="313246272"/>
        <c:axId val="0"/>
      </c:bar3DChart>
      <c:catAx>
        <c:axId val="310855168"/>
        <c:scaling>
          <c:orientation val="minMax"/>
        </c:scaling>
        <c:delete val="0"/>
        <c:axPos val="l"/>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crossAx val="313246272"/>
        <c:crosses val="autoZero"/>
        <c:auto val="1"/>
        <c:lblAlgn val="ctr"/>
        <c:lblOffset val="100"/>
        <c:noMultiLvlLbl val="0"/>
      </c:catAx>
      <c:valAx>
        <c:axId val="313246272"/>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crossAx val="31085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legend>
    <c:plotVisOnly val="1"/>
    <c:dispBlanksAs val="gap"/>
    <c:showDLblsOverMax val="0"/>
  </c:chart>
  <c:spPr>
    <a:solidFill>
      <a:schemeClr val="bg1"/>
    </a:solidFill>
    <a:ln w="6350" cap="flat" cmpd="sng" algn="ctr">
      <a:noFill/>
      <a:prstDash val="solid"/>
      <a:round/>
    </a:ln>
    <a:effectLst/>
  </c:spPr>
  <c:txPr>
    <a:bodyPr/>
    <a:lstStyle/>
    <a:p>
      <a:pPr>
        <a:defRPr sz="900" b="1">
          <a:latin typeface="Gill Sans MT" pitchFamily="34" charset="-18"/>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Statistika!$D$188</c:f>
              <c:strCache>
                <c:ptCount val="1"/>
                <c:pt idx="0">
                  <c:v>Postotak tijela koja su objavila plan savjetovanja s javnošću</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'Grafovi - Savjetovanje'!$V$25:$V$33</c:f>
              <c:strCache>
                <c:ptCount val="9"/>
                <c:pt idx="0">
                  <c:v>Državna tijela</c:v>
                </c:pt>
                <c:pt idx="1">
                  <c:v>Tijela državne uprave</c:v>
                </c:pt>
                <c:pt idx="2">
                  <c:v>Jedinica lokalne ili područne (regionalne) samouprave</c:v>
                </c:pt>
                <c:pt idx="3">
                  <c:v>Sudovi i pravosudna tijela</c:v>
                </c:pt>
                <c:pt idx="4">
                  <c:v>Agencije i druge pravne osobe s javnim ovlastima RH</c:v>
                </c:pt>
                <c:pt idx="5">
                  <c:v>Ustanove</c:v>
                </c:pt>
                <c:pt idx="6">
                  <c:v>Trgovačka društva</c:v>
                </c:pt>
                <c:pt idx="7">
                  <c:v>Udruge</c:v>
                </c:pt>
                <c:pt idx="8">
                  <c:v>Ostale pravne osobe</c:v>
                </c:pt>
              </c:strCache>
            </c:strRef>
          </c:cat>
          <c:val>
            <c:numRef>
              <c:f>Statistika!$D$189:$D$197</c:f>
              <c:numCache>
                <c:formatCode>0.00%</c:formatCode>
                <c:ptCount val="9"/>
                <c:pt idx="0">
                  <c:v>0.66666666666666663</c:v>
                </c:pt>
                <c:pt idx="1">
                  <c:v>0.7931034482758621</c:v>
                </c:pt>
                <c:pt idx="2">
                  <c:v>0.53629032258064513</c:v>
                </c:pt>
                <c:pt idx="3">
                  <c:v>0</c:v>
                </c:pt>
                <c:pt idx="4">
                  <c:v>0.66666666666666663</c:v>
                </c:pt>
                <c:pt idx="5">
                  <c:v>0.18124999999999999</c:v>
                </c:pt>
                <c:pt idx="6">
                  <c:v>0.20689655172413793</c:v>
                </c:pt>
                <c:pt idx="7">
                  <c:v>0.5714285714285714</c:v>
                </c:pt>
                <c:pt idx="8">
                  <c:v>0.23076923076923078</c:v>
                </c:pt>
              </c:numCache>
            </c:numRef>
          </c:val>
          <c:extLst>
            <c:ext xmlns:c16="http://schemas.microsoft.com/office/drawing/2014/chart" uri="{C3380CC4-5D6E-409C-BE32-E72D297353CC}">
              <c16:uniqueId val="{00000000-FDB4-4EF3-B457-84891BC515AE}"/>
            </c:ext>
          </c:extLst>
        </c:ser>
        <c:ser>
          <c:idx val="1"/>
          <c:order val="1"/>
          <c:tx>
            <c:strRef>
              <c:f>Statistika!$E$188</c:f>
              <c:strCache>
                <c:ptCount val="1"/>
                <c:pt idx="0">
                  <c:v>Postotak tijela koja nisu objavila plan savjetovanja s javnošću</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'Grafovi - Savjetovanje'!$V$25:$V$33</c:f>
              <c:strCache>
                <c:ptCount val="9"/>
                <c:pt idx="0">
                  <c:v>Državna tijela</c:v>
                </c:pt>
                <c:pt idx="1">
                  <c:v>Tijela državne uprave</c:v>
                </c:pt>
                <c:pt idx="2">
                  <c:v>Jedinica lokalne ili područne (regionalne) samouprave</c:v>
                </c:pt>
                <c:pt idx="3">
                  <c:v>Sudovi i pravosudna tijela</c:v>
                </c:pt>
                <c:pt idx="4">
                  <c:v>Agencije i druge pravne osobe s javnim ovlastima RH</c:v>
                </c:pt>
                <c:pt idx="5">
                  <c:v>Ustanove</c:v>
                </c:pt>
                <c:pt idx="6">
                  <c:v>Trgovačka društva</c:v>
                </c:pt>
                <c:pt idx="7">
                  <c:v>Udruge</c:v>
                </c:pt>
                <c:pt idx="8">
                  <c:v>Ostale pravne osobe</c:v>
                </c:pt>
              </c:strCache>
            </c:strRef>
          </c:cat>
          <c:val>
            <c:numRef>
              <c:f>Statistika!$E$189:$E$197</c:f>
              <c:numCache>
                <c:formatCode>0.00%</c:formatCode>
                <c:ptCount val="9"/>
                <c:pt idx="0">
                  <c:v>0.33333333333333331</c:v>
                </c:pt>
                <c:pt idx="1">
                  <c:v>0.20689655172413793</c:v>
                </c:pt>
                <c:pt idx="2">
                  <c:v>0.46370967741935482</c:v>
                </c:pt>
                <c:pt idx="3">
                  <c:v>1</c:v>
                </c:pt>
                <c:pt idx="4">
                  <c:v>0.33333333333333331</c:v>
                </c:pt>
                <c:pt idx="5">
                  <c:v>0.81874999999999998</c:v>
                </c:pt>
                <c:pt idx="6">
                  <c:v>0.7931034482758621</c:v>
                </c:pt>
                <c:pt idx="7">
                  <c:v>0.42857142857142855</c:v>
                </c:pt>
                <c:pt idx="8">
                  <c:v>0.76923076923076927</c:v>
                </c:pt>
              </c:numCache>
            </c:numRef>
          </c:val>
          <c:extLst>
            <c:ext xmlns:c16="http://schemas.microsoft.com/office/drawing/2014/chart" uri="{C3380CC4-5D6E-409C-BE32-E72D297353CC}">
              <c16:uniqueId val="{00000001-FDB4-4EF3-B457-84891BC515AE}"/>
            </c:ext>
          </c:extLst>
        </c:ser>
        <c:dLbls>
          <c:showLegendKey val="0"/>
          <c:showVal val="0"/>
          <c:showCatName val="0"/>
          <c:showSerName val="0"/>
          <c:showPercent val="0"/>
          <c:showBubbleSize val="0"/>
        </c:dLbls>
        <c:gapWidth val="150"/>
        <c:shape val="cylinder"/>
        <c:axId val="290367488"/>
        <c:axId val="313247424"/>
        <c:axId val="0"/>
      </c:bar3DChart>
      <c:catAx>
        <c:axId val="29036748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Gill Sans MT" panose="020B0502020104020203" pitchFamily="34" charset="-18"/>
                <a:ea typeface="+mn-ea"/>
                <a:cs typeface="+mn-cs"/>
              </a:defRPr>
            </a:pPr>
            <a:endParaRPr lang="sr-Latn-RS"/>
          </a:p>
        </c:txPr>
        <c:crossAx val="313247424"/>
        <c:crosses val="autoZero"/>
        <c:auto val="1"/>
        <c:lblAlgn val="r"/>
        <c:lblOffset val="100"/>
        <c:noMultiLvlLbl val="0"/>
      </c:catAx>
      <c:valAx>
        <c:axId val="313247424"/>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Gill Sans MT" panose="020B0502020104020203" pitchFamily="34" charset="-18"/>
                <a:ea typeface="+mn-ea"/>
                <a:cs typeface="+mn-cs"/>
              </a:defRPr>
            </a:pPr>
            <a:endParaRPr lang="sr-Latn-RS"/>
          </a:p>
        </c:txPr>
        <c:crossAx val="29036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anose="020B0502020104020203" pitchFamily="34" charset="-18"/>
              <a:ea typeface="+mn-ea"/>
              <a:cs typeface="+mn-cs"/>
            </a:defRPr>
          </a:pPr>
          <a:endParaRPr lang="sr-Latn-RS"/>
        </a:p>
      </c:txPr>
    </c:legend>
    <c:plotVisOnly val="1"/>
    <c:dispBlanksAs val="gap"/>
    <c:showDLblsOverMax val="0"/>
  </c:chart>
  <c:spPr>
    <a:noFill/>
    <a:ln>
      <a:noFill/>
    </a:ln>
    <a:effectLst/>
  </c:spPr>
  <c:txPr>
    <a:bodyPr/>
    <a:lstStyle/>
    <a:p>
      <a:pPr>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1"/>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D81-4FB1-B735-5A3DA517EF94}"/>
              </c:ext>
            </c:extLst>
          </c:dPt>
          <c:dPt>
            <c:idx val="1"/>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D81-4FB1-B735-5A3DA517EF94}"/>
              </c:ext>
            </c:extLst>
          </c:dPt>
          <c:dPt>
            <c:idx val="2"/>
            <c:bubble3D val="0"/>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D81-4FB1-B735-5A3DA517EF94}"/>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lt1">
                      <a:lumMod val="95000"/>
                      <a:alpha val="54000"/>
                    </a:schemeClr>
                  </a:solidFill>
                  <a:prstDash val="solid"/>
                  <a:round/>
                </a:ln>
                <a:effectLst/>
              </c:spPr>
            </c:leaderLines>
            <c:extLst>
              <c:ext xmlns:c15="http://schemas.microsoft.com/office/drawing/2012/chart" uri="{CE6537A1-D6FC-4f65-9D91-7224C49458BB}"/>
            </c:extLst>
          </c:dLbls>
          <c:cat>
            <c:strRef>
              <c:f>(Statistika!$B$221,Statistika!$C$221,Statistika!$D$221)</c:f>
              <c:strCache>
                <c:ptCount val="3"/>
                <c:pt idx="0">
                  <c:v>Broj provedenih savjetovanja s javnošću 2019.</c:v>
                </c:pt>
                <c:pt idx="1">
                  <c:v>Broj provedenih savjetovanja s javnošću 2018.</c:v>
                </c:pt>
                <c:pt idx="2">
                  <c:v>Broj provedenih savjetovanja s javnošću 2017.</c:v>
                </c:pt>
              </c:strCache>
            </c:strRef>
          </c:cat>
          <c:val>
            <c:numRef>
              <c:f>Statistika!$B$231:$D$231</c:f>
              <c:numCache>
                <c:formatCode>General</c:formatCode>
                <c:ptCount val="3"/>
                <c:pt idx="0">
                  <c:v>5313</c:v>
                </c:pt>
                <c:pt idx="1">
                  <c:v>4544</c:v>
                </c:pt>
                <c:pt idx="2">
                  <c:v>2779</c:v>
                </c:pt>
              </c:numCache>
            </c:numRef>
          </c:val>
          <c:extLst>
            <c:ext xmlns:c16="http://schemas.microsoft.com/office/drawing/2014/chart" uri="{C3380CC4-5D6E-409C-BE32-E72D297353CC}">
              <c16:uniqueId val="{00000006-4D81-4FB1-B735-5A3DA517EF9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Gill Sans MT" panose="020B0502020104020203" pitchFamily="34" charset="-18"/>
              <a:ea typeface="+mn-ea"/>
              <a:cs typeface="+mn-cs"/>
            </a:defRPr>
          </a:pPr>
          <a:endParaRPr lang="sr-Latn-RS"/>
        </a:p>
      </c:txPr>
    </c:legend>
    <c:plotVisOnly val="1"/>
    <c:dispBlanksAs val="zero"/>
    <c:showDLblsOverMax val="0"/>
  </c:chart>
  <c:spPr>
    <a:noFill/>
    <a:ln w="6350" cap="flat" cmpd="sng" algn="ctr">
      <a:noFill/>
      <a:prstDash val="solid"/>
      <a:round/>
    </a:ln>
    <a:effectLst/>
  </c:spPr>
  <c:txPr>
    <a:bodyPr/>
    <a:lstStyle/>
    <a:p>
      <a:pPr>
        <a:defRPr>
          <a:latin typeface="Gill Sans MT" panose="020B0502020104020203" pitchFamily="34" charset="-18"/>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Statistika!$B$221</c:f>
              <c:strCache>
                <c:ptCount val="1"/>
                <c:pt idx="0">
                  <c:v>Broj provedenih savjetovanja s javnošću 2019.</c:v>
                </c:pt>
              </c:strCache>
            </c:strRef>
          </c:tx>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Statistika!$A$222:$A$230</c:f>
              <c:strCache>
                <c:ptCount val="9"/>
                <c:pt idx="0">
                  <c:v>Državna tijela</c:v>
                </c:pt>
                <c:pt idx="1">
                  <c:v>Tijela državne uprave</c:v>
                </c:pt>
                <c:pt idx="2">
                  <c:v>Jedinica lokalne ili područne (regionalne) samouprave</c:v>
                </c:pt>
                <c:pt idx="3">
                  <c:v>Sudovi i pravosudna tijela</c:v>
                </c:pt>
                <c:pt idx="4">
                  <c:v>Agencije i druge samostalne pravne osobe s javnim ovlastima RH</c:v>
                </c:pt>
                <c:pt idx="5">
                  <c:v>Ustanove</c:v>
                </c:pt>
                <c:pt idx="6">
                  <c:v>Trgovačka društva</c:v>
                </c:pt>
                <c:pt idx="7">
                  <c:v>Udruge</c:v>
                </c:pt>
                <c:pt idx="8">
                  <c:v>Ostale pravne osobe i tijela s javnim ovlastima</c:v>
                </c:pt>
              </c:strCache>
            </c:strRef>
          </c:cat>
          <c:val>
            <c:numRef>
              <c:f>Statistika!$B$222:$B$230</c:f>
              <c:numCache>
                <c:formatCode>General</c:formatCode>
                <c:ptCount val="9"/>
                <c:pt idx="0">
                  <c:v>59</c:v>
                </c:pt>
                <c:pt idx="1">
                  <c:v>1020</c:v>
                </c:pt>
                <c:pt idx="2">
                  <c:v>3986</c:v>
                </c:pt>
                <c:pt idx="3">
                  <c:v>1</c:v>
                </c:pt>
                <c:pt idx="4">
                  <c:v>109</c:v>
                </c:pt>
                <c:pt idx="5">
                  <c:v>91</c:v>
                </c:pt>
                <c:pt idx="6">
                  <c:v>13</c:v>
                </c:pt>
                <c:pt idx="7">
                  <c:v>2</c:v>
                </c:pt>
                <c:pt idx="8">
                  <c:v>32</c:v>
                </c:pt>
              </c:numCache>
            </c:numRef>
          </c:val>
          <c:extLst>
            <c:ext xmlns:c16="http://schemas.microsoft.com/office/drawing/2014/chart" uri="{C3380CC4-5D6E-409C-BE32-E72D297353CC}">
              <c16:uniqueId val="{00000000-6AD0-4064-9304-8A4E845F9BBE}"/>
            </c:ext>
          </c:extLst>
        </c:ser>
        <c:ser>
          <c:idx val="1"/>
          <c:order val="1"/>
          <c:tx>
            <c:strRef>
              <c:f>Statistika!$C$221</c:f>
              <c:strCache>
                <c:ptCount val="1"/>
                <c:pt idx="0">
                  <c:v>Broj provedenih savjetovanja s javnošću 2018.</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Statistika!$A$222:$A$230</c:f>
              <c:strCache>
                <c:ptCount val="9"/>
                <c:pt idx="0">
                  <c:v>Državna tijela</c:v>
                </c:pt>
                <c:pt idx="1">
                  <c:v>Tijela državne uprave</c:v>
                </c:pt>
                <c:pt idx="2">
                  <c:v>Jedinica lokalne ili područne (regionalne) samouprave</c:v>
                </c:pt>
                <c:pt idx="3">
                  <c:v>Sudovi i pravosudna tijela</c:v>
                </c:pt>
                <c:pt idx="4">
                  <c:v>Agencije i druge samostalne pravne osobe s javnim ovlastima RH</c:v>
                </c:pt>
                <c:pt idx="5">
                  <c:v>Ustanove</c:v>
                </c:pt>
                <c:pt idx="6">
                  <c:v>Trgovačka društva</c:v>
                </c:pt>
                <c:pt idx="7">
                  <c:v>Udruge</c:v>
                </c:pt>
                <c:pt idx="8">
                  <c:v>Ostale pravne osobe i tijela s javnim ovlastima</c:v>
                </c:pt>
              </c:strCache>
            </c:strRef>
          </c:cat>
          <c:val>
            <c:numRef>
              <c:f>Statistika!$C$222:$C$230</c:f>
              <c:numCache>
                <c:formatCode>General</c:formatCode>
                <c:ptCount val="9"/>
                <c:pt idx="0">
                  <c:v>57</c:v>
                </c:pt>
                <c:pt idx="1">
                  <c:v>933</c:v>
                </c:pt>
                <c:pt idx="2">
                  <c:v>3303</c:v>
                </c:pt>
                <c:pt idx="3">
                  <c:v>0</c:v>
                </c:pt>
                <c:pt idx="4">
                  <c:v>93</c:v>
                </c:pt>
                <c:pt idx="5">
                  <c:v>95</c:v>
                </c:pt>
                <c:pt idx="6">
                  <c:v>25</c:v>
                </c:pt>
                <c:pt idx="7">
                  <c:v>2</c:v>
                </c:pt>
                <c:pt idx="8">
                  <c:v>36</c:v>
                </c:pt>
              </c:numCache>
            </c:numRef>
          </c:val>
          <c:extLst>
            <c:ext xmlns:c16="http://schemas.microsoft.com/office/drawing/2014/chart" uri="{C3380CC4-5D6E-409C-BE32-E72D297353CC}">
              <c16:uniqueId val="{00000001-6AD0-4064-9304-8A4E845F9BBE}"/>
            </c:ext>
          </c:extLst>
        </c:ser>
        <c:ser>
          <c:idx val="2"/>
          <c:order val="2"/>
          <c:tx>
            <c:strRef>
              <c:f>Statistika!$D$221</c:f>
              <c:strCache>
                <c:ptCount val="1"/>
                <c:pt idx="0">
                  <c:v>Broj provedenih savjetovanja s javnošću 2017.</c:v>
                </c:pt>
              </c:strCache>
            </c:strRef>
          </c:tx>
          <c:spPr>
            <a:solidFill>
              <a:schemeClr val="accent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Statistika!$A$222:$A$230</c:f>
              <c:strCache>
                <c:ptCount val="9"/>
                <c:pt idx="0">
                  <c:v>Državna tijela</c:v>
                </c:pt>
                <c:pt idx="1">
                  <c:v>Tijela državne uprave</c:v>
                </c:pt>
                <c:pt idx="2">
                  <c:v>Jedinica lokalne ili područne (regionalne) samouprave</c:v>
                </c:pt>
                <c:pt idx="3">
                  <c:v>Sudovi i pravosudna tijela</c:v>
                </c:pt>
                <c:pt idx="4">
                  <c:v>Agencije i druge samostalne pravne osobe s javnim ovlastima RH</c:v>
                </c:pt>
                <c:pt idx="5">
                  <c:v>Ustanove</c:v>
                </c:pt>
                <c:pt idx="6">
                  <c:v>Trgovačka društva</c:v>
                </c:pt>
                <c:pt idx="7">
                  <c:v>Udruge</c:v>
                </c:pt>
                <c:pt idx="8">
                  <c:v>Ostale pravne osobe i tijela s javnim ovlastima</c:v>
                </c:pt>
              </c:strCache>
            </c:strRef>
          </c:cat>
          <c:val>
            <c:numRef>
              <c:f>Statistika!$D$222:$D$230</c:f>
              <c:numCache>
                <c:formatCode>General</c:formatCode>
                <c:ptCount val="9"/>
                <c:pt idx="0">
                  <c:v>53</c:v>
                </c:pt>
                <c:pt idx="1">
                  <c:v>541</c:v>
                </c:pt>
                <c:pt idx="2">
                  <c:v>1721</c:v>
                </c:pt>
                <c:pt idx="3">
                  <c:v>1</c:v>
                </c:pt>
                <c:pt idx="4">
                  <c:v>231</c:v>
                </c:pt>
                <c:pt idx="5">
                  <c:v>138</c:v>
                </c:pt>
                <c:pt idx="6">
                  <c:v>61</c:v>
                </c:pt>
                <c:pt idx="7">
                  <c:v>3</c:v>
                </c:pt>
                <c:pt idx="8">
                  <c:v>30</c:v>
                </c:pt>
              </c:numCache>
            </c:numRef>
          </c:val>
          <c:extLst>
            <c:ext xmlns:c16="http://schemas.microsoft.com/office/drawing/2014/chart" uri="{C3380CC4-5D6E-409C-BE32-E72D297353CC}">
              <c16:uniqueId val="{00000002-6AD0-4064-9304-8A4E845F9BBE}"/>
            </c:ext>
          </c:extLst>
        </c:ser>
        <c:dLbls>
          <c:showLegendKey val="0"/>
          <c:showVal val="0"/>
          <c:showCatName val="0"/>
          <c:showSerName val="0"/>
          <c:showPercent val="0"/>
          <c:showBubbleSize val="0"/>
        </c:dLbls>
        <c:gapWidth val="150"/>
        <c:shape val="cylinder"/>
        <c:axId val="310854144"/>
        <c:axId val="313249728"/>
        <c:axId val="0"/>
      </c:bar3DChart>
      <c:catAx>
        <c:axId val="310854144"/>
        <c:scaling>
          <c:orientation val="minMax"/>
        </c:scaling>
        <c:delete val="0"/>
        <c:axPos val="b"/>
        <c:numFmt formatCode="General"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Gill Sans MT" panose="020B0502020104020203" pitchFamily="34" charset="-18"/>
                <a:ea typeface="+mn-ea"/>
                <a:cs typeface="+mn-cs"/>
              </a:defRPr>
            </a:pPr>
            <a:endParaRPr lang="sr-Latn-RS"/>
          </a:p>
        </c:txPr>
        <c:crossAx val="313249728"/>
        <c:crosses val="autoZero"/>
        <c:auto val="1"/>
        <c:lblAlgn val="r"/>
        <c:lblOffset val="100"/>
        <c:noMultiLvlLbl val="0"/>
      </c:catAx>
      <c:valAx>
        <c:axId val="313249728"/>
        <c:scaling>
          <c:orientation val="minMax"/>
        </c:scaling>
        <c:delete val="0"/>
        <c:axPos val="l"/>
        <c:majorGridlines>
          <c:spPr>
            <a:ln w="9525" cap="flat" cmpd="sng" algn="ctr">
              <a:solidFill>
                <a:schemeClr val="dk1">
                  <a:lumMod val="50000"/>
                  <a:lumOff val="50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Gill Sans MT" panose="020B0502020104020203" pitchFamily="34" charset="-18"/>
                <a:ea typeface="+mn-ea"/>
                <a:cs typeface="+mn-cs"/>
              </a:defRPr>
            </a:pPr>
            <a:endParaRPr lang="sr-Latn-RS"/>
          </a:p>
        </c:txPr>
        <c:crossAx val="31085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anose="020B0502020104020203" pitchFamily="34" charset="-18"/>
              <a:ea typeface="+mn-ea"/>
              <a:cs typeface="+mn-cs"/>
            </a:defRPr>
          </a:pPr>
          <a:endParaRPr lang="sr-Latn-RS"/>
        </a:p>
      </c:txPr>
    </c:legend>
    <c:plotVisOnly val="1"/>
    <c:dispBlanksAs val="gap"/>
    <c:showDLblsOverMax val="0"/>
  </c:chart>
  <c:spPr>
    <a:noFill/>
    <a:ln w="6350" cap="flat" cmpd="sng" algn="ctr">
      <a:noFill/>
      <a:prstDash val="solid"/>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Broj podnesenih predstavki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Sheet1!$B$1:$H$1</c:f>
              <c:strCache>
                <c:ptCount val="7"/>
                <c:pt idx="0">
                  <c:v>2013.</c:v>
                </c:pt>
                <c:pt idx="1">
                  <c:v>2014.</c:v>
                </c:pt>
                <c:pt idx="2">
                  <c:v>2015.</c:v>
                </c:pt>
                <c:pt idx="3">
                  <c:v>2016.</c:v>
                </c:pt>
                <c:pt idx="4">
                  <c:v>2017.</c:v>
                </c:pt>
                <c:pt idx="5">
                  <c:v>2018.</c:v>
                </c:pt>
                <c:pt idx="6">
                  <c:v>2019.</c:v>
                </c:pt>
              </c:strCache>
            </c:strRef>
          </c:cat>
          <c:val>
            <c:numRef>
              <c:f>Sheet1!$B$2:$H$2</c:f>
              <c:numCache>
                <c:formatCode>General</c:formatCode>
                <c:ptCount val="7"/>
                <c:pt idx="0">
                  <c:v>118</c:v>
                </c:pt>
                <c:pt idx="1">
                  <c:v>236</c:v>
                </c:pt>
                <c:pt idx="2">
                  <c:v>211</c:v>
                </c:pt>
                <c:pt idx="3">
                  <c:v>324</c:v>
                </c:pt>
                <c:pt idx="4">
                  <c:v>438</c:v>
                </c:pt>
                <c:pt idx="5">
                  <c:v>274</c:v>
                </c:pt>
                <c:pt idx="6">
                  <c:v>252</c:v>
                </c:pt>
              </c:numCache>
            </c:numRef>
          </c:val>
          <c:extLst>
            <c:ext xmlns:c16="http://schemas.microsoft.com/office/drawing/2014/chart" uri="{C3380CC4-5D6E-409C-BE32-E72D297353CC}">
              <c16:uniqueId val="{00000000-1463-4FA2-99A0-369C0C958D2F}"/>
            </c:ext>
          </c:extLst>
        </c:ser>
        <c:ser>
          <c:idx val="1"/>
          <c:order val="1"/>
          <c:tx>
            <c:strRef>
              <c:f>Sheet1!$A$3</c:f>
              <c:strCache>
                <c:ptCount val="1"/>
                <c:pt idx="0">
                  <c:v>Preneseno iz prethodnih godina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Sheet1!$B$1:$H$1</c:f>
              <c:strCache>
                <c:ptCount val="7"/>
                <c:pt idx="0">
                  <c:v>2013.</c:v>
                </c:pt>
                <c:pt idx="1">
                  <c:v>2014.</c:v>
                </c:pt>
                <c:pt idx="2">
                  <c:v>2015.</c:v>
                </c:pt>
                <c:pt idx="3">
                  <c:v>2016.</c:v>
                </c:pt>
                <c:pt idx="4">
                  <c:v>2017.</c:v>
                </c:pt>
                <c:pt idx="5">
                  <c:v>2018.</c:v>
                </c:pt>
                <c:pt idx="6">
                  <c:v>2019.</c:v>
                </c:pt>
              </c:strCache>
            </c:strRef>
          </c:cat>
          <c:val>
            <c:numRef>
              <c:f>Sheet1!$B$3:$H$3</c:f>
              <c:numCache>
                <c:formatCode>General</c:formatCode>
                <c:ptCount val="7"/>
                <c:pt idx="0">
                  <c:v>25</c:v>
                </c:pt>
                <c:pt idx="1">
                  <c:v>42</c:v>
                </c:pt>
                <c:pt idx="2">
                  <c:v>76</c:v>
                </c:pt>
                <c:pt idx="3">
                  <c:v>103</c:v>
                </c:pt>
                <c:pt idx="4">
                  <c:v>189</c:v>
                </c:pt>
                <c:pt idx="5">
                  <c:v>434</c:v>
                </c:pt>
                <c:pt idx="6">
                  <c:v>190</c:v>
                </c:pt>
              </c:numCache>
            </c:numRef>
          </c:val>
          <c:extLst>
            <c:ext xmlns:c16="http://schemas.microsoft.com/office/drawing/2014/chart" uri="{C3380CC4-5D6E-409C-BE32-E72D297353CC}">
              <c16:uniqueId val="{00000001-1463-4FA2-99A0-369C0C958D2F}"/>
            </c:ext>
          </c:extLst>
        </c:ser>
        <c:ser>
          <c:idx val="2"/>
          <c:order val="2"/>
          <c:tx>
            <c:strRef>
              <c:f>Sheet1!$A$4</c:f>
              <c:strCache>
                <c:ptCount val="1"/>
                <c:pt idx="0">
                  <c:v>Broj predstavki u rješavanju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Sheet1!$B$1:$H$1</c:f>
              <c:strCache>
                <c:ptCount val="7"/>
                <c:pt idx="0">
                  <c:v>2013.</c:v>
                </c:pt>
                <c:pt idx="1">
                  <c:v>2014.</c:v>
                </c:pt>
                <c:pt idx="2">
                  <c:v>2015.</c:v>
                </c:pt>
                <c:pt idx="3">
                  <c:v>2016.</c:v>
                </c:pt>
                <c:pt idx="4">
                  <c:v>2017.</c:v>
                </c:pt>
                <c:pt idx="5">
                  <c:v>2018.</c:v>
                </c:pt>
                <c:pt idx="6">
                  <c:v>2019.</c:v>
                </c:pt>
              </c:strCache>
            </c:strRef>
          </c:cat>
          <c:val>
            <c:numRef>
              <c:f>Sheet1!$B$4:$H$4</c:f>
              <c:numCache>
                <c:formatCode>General</c:formatCode>
                <c:ptCount val="7"/>
                <c:pt idx="0">
                  <c:v>143</c:v>
                </c:pt>
                <c:pt idx="1">
                  <c:v>278</c:v>
                </c:pt>
                <c:pt idx="2">
                  <c:v>287</c:v>
                </c:pt>
                <c:pt idx="3">
                  <c:v>427</c:v>
                </c:pt>
                <c:pt idx="4">
                  <c:v>627</c:v>
                </c:pt>
                <c:pt idx="5">
                  <c:v>708</c:v>
                </c:pt>
                <c:pt idx="6">
                  <c:v>442</c:v>
                </c:pt>
              </c:numCache>
            </c:numRef>
          </c:val>
          <c:extLst>
            <c:ext xmlns:c16="http://schemas.microsoft.com/office/drawing/2014/chart" uri="{C3380CC4-5D6E-409C-BE32-E72D297353CC}">
              <c16:uniqueId val="{00000002-1463-4FA2-99A0-369C0C958D2F}"/>
            </c:ext>
          </c:extLst>
        </c:ser>
        <c:ser>
          <c:idx val="3"/>
          <c:order val="3"/>
          <c:tx>
            <c:strRef>
              <c:f>Sheet1!$A$5</c:f>
              <c:strCache>
                <c:ptCount val="1"/>
                <c:pt idx="0">
                  <c:v>Broj riješenih predstavki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Sheet1!$B$1:$H$1</c:f>
              <c:strCache>
                <c:ptCount val="7"/>
                <c:pt idx="0">
                  <c:v>2013.</c:v>
                </c:pt>
                <c:pt idx="1">
                  <c:v>2014.</c:v>
                </c:pt>
                <c:pt idx="2">
                  <c:v>2015.</c:v>
                </c:pt>
                <c:pt idx="3">
                  <c:v>2016.</c:v>
                </c:pt>
                <c:pt idx="4">
                  <c:v>2017.</c:v>
                </c:pt>
                <c:pt idx="5">
                  <c:v>2018.</c:v>
                </c:pt>
                <c:pt idx="6">
                  <c:v>2019.</c:v>
                </c:pt>
              </c:strCache>
            </c:strRef>
          </c:cat>
          <c:val>
            <c:numRef>
              <c:f>Sheet1!$B$5:$H$5</c:f>
              <c:numCache>
                <c:formatCode>General</c:formatCode>
                <c:ptCount val="7"/>
                <c:pt idx="0">
                  <c:v>90</c:v>
                </c:pt>
                <c:pt idx="1">
                  <c:v>143</c:v>
                </c:pt>
                <c:pt idx="2">
                  <c:v>166</c:v>
                </c:pt>
                <c:pt idx="3">
                  <c:v>237</c:v>
                </c:pt>
                <c:pt idx="4">
                  <c:v>193</c:v>
                </c:pt>
                <c:pt idx="5">
                  <c:v>518</c:v>
                </c:pt>
                <c:pt idx="6">
                  <c:v>364</c:v>
                </c:pt>
              </c:numCache>
            </c:numRef>
          </c:val>
          <c:extLst>
            <c:ext xmlns:c16="http://schemas.microsoft.com/office/drawing/2014/chart" uri="{C3380CC4-5D6E-409C-BE32-E72D297353CC}">
              <c16:uniqueId val="{00000003-1463-4FA2-99A0-369C0C958D2F}"/>
            </c:ext>
          </c:extLst>
        </c:ser>
        <c:dLbls>
          <c:showLegendKey val="0"/>
          <c:showVal val="0"/>
          <c:showCatName val="0"/>
          <c:showSerName val="0"/>
          <c:showPercent val="0"/>
          <c:showBubbleSize val="0"/>
        </c:dLbls>
        <c:gapWidth val="219"/>
        <c:overlap val="-27"/>
        <c:axId val="2038297599"/>
        <c:axId val="2038299231"/>
      </c:barChart>
      <c:catAx>
        <c:axId val="203829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38299231"/>
        <c:crosses val="autoZero"/>
        <c:auto val="1"/>
        <c:lblAlgn val="ctr"/>
        <c:lblOffset val="100"/>
        <c:noMultiLvlLbl val="0"/>
      </c:catAx>
      <c:valAx>
        <c:axId val="2038299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18"/>
                <a:ea typeface="+mn-ea"/>
                <a:cs typeface="+mn-cs"/>
              </a:defRPr>
            </a:pPr>
            <a:endParaRPr lang="sr-Latn-RS"/>
          </a:p>
        </c:txPr>
        <c:crossAx val="203829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18"/>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49296886669653"/>
          <c:y val="0.16378093813129405"/>
          <c:w val="0.5110440219362824"/>
          <c:h val="0.60324774182497831"/>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DC88-47FD-BAAB-CF6DACF3B3BC}"/>
              </c:ext>
            </c:extLst>
          </c:dPt>
          <c:dPt>
            <c:idx val="1"/>
            <c:bubble3D val="0"/>
            <c:spPr>
              <a:solidFill>
                <a:schemeClr val="accent2"/>
              </a:solidFill>
              <a:ln>
                <a:noFill/>
              </a:ln>
              <a:effectLst/>
            </c:spPr>
            <c:extLst>
              <c:ext xmlns:c16="http://schemas.microsoft.com/office/drawing/2014/chart" uri="{C3380CC4-5D6E-409C-BE32-E72D297353CC}">
                <c16:uniqueId val="{00000003-DC88-47FD-BAAB-CF6DACF3B3BC}"/>
              </c:ext>
            </c:extLst>
          </c:dPt>
          <c:dPt>
            <c:idx val="2"/>
            <c:bubble3D val="0"/>
            <c:spPr>
              <a:solidFill>
                <a:schemeClr val="accent3"/>
              </a:solidFill>
              <a:ln>
                <a:noFill/>
              </a:ln>
              <a:effectLst/>
            </c:spPr>
            <c:extLst>
              <c:ext xmlns:c16="http://schemas.microsoft.com/office/drawing/2014/chart" uri="{C3380CC4-5D6E-409C-BE32-E72D297353CC}">
                <c16:uniqueId val="{00000005-DC88-47FD-BAAB-CF6DACF3B3BC}"/>
              </c:ext>
            </c:extLst>
          </c:dPt>
          <c:dPt>
            <c:idx val="3"/>
            <c:bubble3D val="0"/>
            <c:spPr>
              <a:solidFill>
                <a:schemeClr val="accent4"/>
              </a:solidFill>
              <a:ln>
                <a:noFill/>
              </a:ln>
              <a:effectLst/>
            </c:spPr>
            <c:extLst>
              <c:ext xmlns:c16="http://schemas.microsoft.com/office/drawing/2014/chart" uri="{C3380CC4-5D6E-409C-BE32-E72D297353CC}">
                <c16:uniqueId val="{00000007-DC88-47FD-BAAB-CF6DACF3B3BC}"/>
              </c:ext>
            </c:extLst>
          </c:dPt>
          <c:dPt>
            <c:idx val="4"/>
            <c:bubble3D val="0"/>
            <c:spPr>
              <a:solidFill>
                <a:schemeClr val="accent5"/>
              </a:solidFill>
              <a:ln>
                <a:noFill/>
              </a:ln>
              <a:effectLst/>
            </c:spPr>
            <c:extLst>
              <c:ext xmlns:c16="http://schemas.microsoft.com/office/drawing/2014/chart" uri="{C3380CC4-5D6E-409C-BE32-E72D297353CC}">
                <c16:uniqueId val="{00000009-DC88-47FD-BAAB-CF6DACF3B3BC}"/>
              </c:ext>
            </c:extLst>
          </c:dPt>
          <c:dPt>
            <c:idx val="5"/>
            <c:bubble3D val="0"/>
            <c:spPr>
              <a:solidFill>
                <a:schemeClr val="accent6"/>
              </a:solidFill>
              <a:ln>
                <a:noFill/>
              </a:ln>
              <a:effectLst/>
            </c:spPr>
            <c:extLst>
              <c:ext xmlns:c16="http://schemas.microsoft.com/office/drawing/2014/chart" uri="{C3380CC4-5D6E-409C-BE32-E72D297353CC}">
                <c16:uniqueId val="{0000000B-DC88-47FD-BAAB-CF6DACF3B3BC}"/>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DC88-47FD-BAAB-CF6DACF3B3BC}"/>
              </c:ext>
            </c:extLst>
          </c:dPt>
          <c:dLbls>
            <c:dLbl>
              <c:idx val="0"/>
              <c:layout>
                <c:manualLayout>
                  <c:x val="-0.15126005590764569"/>
                  <c:y val="-0.211865935184205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88-47FD-BAAB-CF6DACF3B3BC}"/>
                </c:ext>
              </c:extLst>
            </c:dLbl>
            <c:dLbl>
              <c:idx val="1"/>
              <c:layout>
                <c:manualLayout>
                  <c:x val="0.11134967885111922"/>
                  <c:y val="1.749673805169747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88-47FD-BAAB-CF6DACF3B3BC}"/>
                </c:ext>
              </c:extLst>
            </c:dLbl>
            <c:dLbl>
              <c:idx val="2"/>
              <c:layout>
                <c:manualLayout>
                  <c:x val="9.8663508524849022E-2"/>
                  <c:y val="7.166533166079767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C88-47FD-BAAB-CF6DACF3B3BC}"/>
                </c:ext>
              </c:extLst>
            </c:dLbl>
            <c:dLbl>
              <c:idx val="4"/>
              <c:layout>
                <c:manualLayout>
                  <c:x val="-3.3921857328809905E-3"/>
                  <c:y val="-4.6851149364486827E-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88-47FD-BAAB-CF6DACF3B3BC}"/>
                </c:ext>
              </c:extLst>
            </c:dLbl>
            <c:dLbl>
              <c:idx val="5"/>
              <c:layout>
                <c:manualLayout>
                  <c:x val="8.2549559353861258E-3"/>
                  <c:y val="-1.655810298184895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C88-47FD-BAAB-CF6DACF3B3BC}"/>
                </c:ext>
              </c:extLst>
            </c:dLbl>
            <c:dLbl>
              <c:idx val="6"/>
              <c:layout>
                <c:manualLayout>
                  <c:x val="4.7962358363741117E-2"/>
                  <c:y val="-1.24468894363252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C88-47FD-BAAB-CF6DACF3B3BC}"/>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Gill Sans MT" panose="020B0502020104020203" pitchFamily="34" charset="-18"/>
                    <a:ea typeface="+mn-ea"/>
                    <a:cs typeface="Calibri" panose="020F0502020204030204" pitchFamily="34" charset="0"/>
                  </a:defRPr>
                </a:pPr>
                <a:endParaRPr lang="sr-Latn-R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Statistika!$B$50:$B$56</c:f>
              <c:strCache>
                <c:ptCount val="7"/>
                <c:pt idx="0">
                  <c:v>Građani - fizičke osobe (184)</c:v>
                </c:pt>
                <c:pt idx="1">
                  <c:v>Mediji (23)</c:v>
                </c:pt>
                <c:pt idx="2">
                  <c:v>Udruge (21)</c:v>
                </c:pt>
                <c:pt idx="3">
                  <c:v>Trgovačka društva (8)</c:v>
                </c:pt>
                <c:pt idx="4">
                  <c:v>Sindikati (7)</c:v>
                </c:pt>
                <c:pt idx="5">
                  <c:v>Političke stranke i predstavnici  (6)</c:v>
                </c:pt>
                <c:pt idx="6">
                  <c:v>Tijela javne vlasti (3)</c:v>
                </c:pt>
              </c:strCache>
            </c:strRef>
          </c:cat>
          <c:val>
            <c:numRef>
              <c:f>Statistika!$E$50:$E$56</c:f>
              <c:numCache>
                <c:formatCode>0.00</c:formatCode>
                <c:ptCount val="7"/>
                <c:pt idx="0">
                  <c:v>73.015873015873012</c:v>
                </c:pt>
                <c:pt idx="1">
                  <c:v>9.1269841269841265</c:v>
                </c:pt>
                <c:pt idx="2">
                  <c:v>8.3333333333333321</c:v>
                </c:pt>
                <c:pt idx="3">
                  <c:v>3.1746031746031744</c:v>
                </c:pt>
                <c:pt idx="4">
                  <c:v>2.7777777777777777</c:v>
                </c:pt>
                <c:pt idx="5">
                  <c:v>2.3809523809523809</c:v>
                </c:pt>
                <c:pt idx="6">
                  <c:v>1.1904761904761905</c:v>
                </c:pt>
              </c:numCache>
            </c:numRef>
          </c:val>
          <c:extLst>
            <c:ext xmlns:c16="http://schemas.microsoft.com/office/drawing/2014/chart" uri="{C3380CC4-5D6E-409C-BE32-E72D297353CC}">
              <c16:uniqueId val="{0000000E-DC88-47FD-BAAB-CF6DACF3B3B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3137616435181683"/>
          <c:w val="0.97506780402449711"/>
          <c:h val="0.148150387151701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Gill Sans MT" panose="020B0502020104020203" pitchFamily="34" charset="-18"/>
              <a:ea typeface="+mn-ea"/>
              <a:cs typeface="Calibri" panose="020F0502020204030204" pitchFamily="34"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prstDash val="solid"/>
      <a:round/>
    </a:ln>
    <a:effectLst/>
  </c:spPr>
  <c:txPr>
    <a:bodyPr/>
    <a:lstStyle/>
    <a:p>
      <a:pPr>
        <a:defRPr>
          <a:latin typeface="Calibri" panose="020F0502020204030204" pitchFamily="34" charset="0"/>
          <a:cs typeface="Calibri" panose="020F0502020204030204" pitchFamily="34" charset="0"/>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75325611771056"/>
          <c:y val="0.14952234795787139"/>
          <c:w val="0.55497694656299834"/>
          <c:h val="0.64393499992828762"/>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9286-45C1-9AED-022C80B1BDA6}"/>
              </c:ext>
            </c:extLst>
          </c:dPt>
          <c:dPt>
            <c:idx val="1"/>
            <c:bubble3D val="0"/>
            <c:spPr>
              <a:solidFill>
                <a:schemeClr val="accent2"/>
              </a:solidFill>
              <a:ln>
                <a:noFill/>
              </a:ln>
              <a:effectLst/>
            </c:spPr>
            <c:extLst>
              <c:ext xmlns:c16="http://schemas.microsoft.com/office/drawing/2014/chart" uri="{C3380CC4-5D6E-409C-BE32-E72D297353CC}">
                <c16:uniqueId val="{00000003-9286-45C1-9AED-022C80B1BDA6}"/>
              </c:ext>
            </c:extLst>
          </c:dPt>
          <c:dPt>
            <c:idx val="2"/>
            <c:bubble3D val="0"/>
            <c:spPr>
              <a:solidFill>
                <a:schemeClr val="accent3"/>
              </a:solidFill>
              <a:ln>
                <a:noFill/>
              </a:ln>
              <a:effectLst/>
            </c:spPr>
            <c:extLst>
              <c:ext xmlns:c16="http://schemas.microsoft.com/office/drawing/2014/chart" uri="{C3380CC4-5D6E-409C-BE32-E72D297353CC}">
                <c16:uniqueId val="{00000005-9286-45C1-9AED-022C80B1BDA6}"/>
              </c:ext>
            </c:extLst>
          </c:dPt>
          <c:dPt>
            <c:idx val="3"/>
            <c:bubble3D val="0"/>
            <c:spPr>
              <a:solidFill>
                <a:schemeClr val="accent4"/>
              </a:solidFill>
              <a:ln>
                <a:noFill/>
              </a:ln>
              <a:effectLst/>
            </c:spPr>
            <c:extLst>
              <c:ext xmlns:c16="http://schemas.microsoft.com/office/drawing/2014/chart" uri="{C3380CC4-5D6E-409C-BE32-E72D297353CC}">
                <c16:uniqueId val="{00000007-9286-45C1-9AED-022C80B1BDA6}"/>
              </c:ext>
            </c:extLst>
          </c:dPt>
          <c:dPt>
            <c:idx val="4"/>
            <c:bubble3D val="0"/>
            <c:spPr>
              <a:solidFill>
                <a:schemeClr val="accent5"/>
              </a:solidFill>
              <a:ln>
                <a:noFill/>
              </a:ln>
              <a:effectLst/>
            </c:spPr>
            <c:extLst>
              <c:ext xmlns:c16="http://schemas.microsoft.com/office/drawing/2014/chart" uri="{C3380CC4-5D6E-409C-BE32-E72D297353CC}">
                <c16:uniqueId val="{00000009-9286-45C1-9AED-022C80B1BDA6}"/>
              </c:ext>
            </c:extLst>
          </c:dPt>
          <c:dPt>
            <c:idx val="5"/>
            <c:bubble3D val="0"/>
            <c:spPr>
              <a:solidFill>
                <a:schemeClr val="accent6"/>
              </a:solidFill>
              <a:ln>
                <a:noFill/>
              </a:ln>
              <a:effectLst/>
            </c:spPr>
            <c:extLst>
              <c:ext xmlns:c16="http://schemas.microsoft.com/office/drawing/2014/chart" uri="{C3380CC4-5D6E-409C-BE32-E72D297353CC}">
                <c16:uniqueId val="{0000000B-9286-45C1-9AED-022C80B1BDA6}"/>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9286-45C1-9AED-022C80B1BDA6}"/>
              </c:ext>
            </c:extLst>
          </c:dPt>
          <c:dLbls>
            <c:dLbl>
              <c:idx val="0"/>
              <c:layout>
                <c:manualLayout>
                  <c:x val="-0.15689687172753439"/>
                  <c:y val="-0.11910081410295648"/>
                </c:manualLayout>
              </c:layout>
              <c:tx>
                <c:rich>
                  <a:bodyPr/>
                  <a:lstStyle/>
                  <a:p>
                    <a:fld id="{066842CF-C498-4DCA-8361-CDBA4872389A}" type="VALUE">
                      <a:rPr lang="en-US"/>
                      <a:pPr/>
                      <a:t>[VRIJEDNOST]</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286-45C1-9AED-022C80B1BDA6}"/>
                </c:ext>
              </c:extLst>
            </c:dLbl>
            <c:dLbl>
              <c:idx val="1"/>
              <c:layout>
                <c:manualLayout>
                  <c:x val="0.12637444187518082"/>
                  <c:y val="-8.0472160385047897E-2"/>
                </c:manualLayout>
              </c:layout>
              <c:tx>
                <c:rich>
                  <a:bodyPr/>
                  <a:lstStyle/>
                  <a:p>
                    <a:fld id="{C0FBFC40-C772-4B47-B5FB-9174BB61F858}" type="VALUE">
                      <a:rPr lang="en-US"/>
                      <a:pPr/>
                      <a:t>[VRIJEDNOST]</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286-45C1-9AED-022C80B1BDA6}"/>
                </c:ext>
              </c:extLst>
            </c:dLbl>
            <c:dLbl>
              <c:idx val="2"/>
              <c:layout>
                <c:manualLayout>
                  <c:x val="0.12692180188059921"/>
                  <c:y val="3.9586924095450109E-2"/>
                </c:manualLayout>
              </c:layout>
              <c:tx>
                <c:rich>
                  <a:bodyPr/>
                  <a:lstStyle/>
                  <a:p>
                    <a:fld id="{DEAD1CAB-5F4A-4EA4-AA80-290DB8686E58}" type="VALUE">
                      <a:rPr lang="en-US"/>
                      <a:pPr/>
                      <a:t>[VRIJEDNOST]</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286-45C1-9AED-022C80B1BDA6}"/>
                </c:ext>
              </c:extLst>
            </c:dLbl>
            <c:dLbl>
              <c:idx val="3"/>
              <c:layout>
                <c:manualLayout>
                  <c:x val="7.8999468420877725E-2"/>
                  <c:y val="9.723271107965431E-2"/>
                </c:manualLayout>
              </c:layout>
              <c:tx>
                <c:rich>
                  <a:bodyPr/>
                  <a:lstStyle/>
                  <a:p>
                    <a:fld id="{95889667-EB10-4941-8D3D-D90F2B191152}" type="VALUE">
                      <a:rPr lang="en-US"/>
                      <a:pPr/>
                      <a:t>[VRIJEDNOST]</a:t>
                    </a:fld>
                    <a:r>
                      <a:rPr lang="en-US"/>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286-45C1-9AED-022C80B1BDA6}"/>
                </c:ext>
              </c:extLst>
            </c:dLbl>
            <c:dLbl>
              <c:idx val="4"/>
              <c:layout>
                <c:manualLayout>
                  <c:x val="-2.4964721054910596E-2"/>
                  <c:y val="4.670702280583628E-3"/>
                </c:manualLayout>
              </c:layout>
              <c:tx>
                <c:rich>
                  <a:bodyPr/>
                  <a:lstStyle/>
                  <a:p>
                    <a:fld id="{7FE5BF4C-5A94-47FC-8AB1-877F9AC8C371}" type="VALUE">
                      <a:rPr lang="en-US"/>
                      <a:pPr/>
                      <a:t>[VRIJEDNOST]</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286-45C1-9AED-022C80B1BDA6}"/>
                </c:ext>
              </c:extLst>
            </c:dLbl>
            <c:dLbl>
              <c:idx val="5"/>
              <c:layout>
                <c:manualLayout>
                  <c:x val="5.1228957364102333E-4"/>
                  <c:y val="-2.4599633379832016E-2"/>
                </c:manualLayout>
              </c:layout>
              <c:tx>
                <c:rich>
                  <a:bodyPr/>
                  <a:lstStyle/>
                  <a:p>
                    <a:fld id="{40754806-D387-41D9-A3E0-08365EA3158F}" type="VALUE">
                      <a:rPr lang="en-US"/>
                      <a:pPr/>
                      <a:t>[VRIJEDNOST]</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286-45C1-9AED-022C80B1BDA6}"/>
                </c:ext>
              </c:extLst>
            </c:dLbl>
            <c:dLbl>
              <c:idx val="6"/>
              <c:layout>
                <c:manualLayout>
                  <c:x val="6.5584822562205547E-2"/>
                  <c:y val="-3.0284823278125532E-2"/>
                </c:manualLayout>
              </c:layout>
              <c:tx>
                <c:rich>
                  <a:bodyPr/>
                  <a:lstStyle/>
                  <a:p>
                    <a:fld id="{3E5E70BD-CB23-46D7-A321-EE5253E60051}" type="VALUE">
                      <a:rPr lang="en-US"/>
                      <a:pPr/>
                      <a:t>[VRIJEDNOST]</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286-45C1-9AED-022C80B1BDA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Statistika!$B$88:$B$94</c:f>
              <c:strCache>
                <c:ptCount val="7"/>
                <c:pt idx="0">
                  <c:v>Nepravilnosti u postupanju po zahtjevu (150)</c:v>
                </c:pt>
                <c:pt idx="1">
                  <c:v>Proaktivna objava informacija (36)</c:v>
                </c:pt>
                <c:pt idx="2">
                  <c:v>Nepostupanje po zahtjevu - šutnja uprave (26)</c:v>
                </c:pt>
                <c:pt idx="3">
                  <c:v>Savjetovanje s javnošću (25)</c:v>
                </c:pt>
                <c:pt idx="4">
                  <c:v>Javnost rada (8)</c:v>
                </c:pt>
                <c:pt idx="5">
                  <c:v>Službenik za informiranje (5)</c:v>
                </c:pt>
                <c:pt idx="6">
                  <c:v>Ostalo (2)</c:v>
                </c:pt>
              </c:strCache>
            </c:strRef>
          </c:cat>
          <c:val>
            <c:numRef>
              <c:f>Statistika!$D$88:$D$94</c:f>
              <c:numCache>
                <c:formatCode>0.00</c:formatCode>
                <c:ptCount val="7"/>
                <c:pt idx="0">
                  <c:v>59.523809523809526</c:v>
                </c:pt>
                <c:pt idx="1">
                  <c:v>14.285714285714285</c:v>
                </c:pt>
                <c:pt idx="2">
                  <c:v>10.317460317460316</c:v>
                </c:pt>
                <c:pt idx="3">
                  <c:v>9.9206349206349209</c:v>
                </c:pt>
                <c:pt idx="4">
                  <c:v>3.1746031746031744</c:v>
                </c:pt>
                <c:pt idx="5">
                  <c:v>1.984126984126984</c:v>
                </c:pt>
                <c:pt idx="6">
                  <c:v>0.79365079365079361</c:v>
                </c:pt>
              </c:numCache>
            </c:numRef>
          </c:val>
          <c:extLst>
            <c:ext xmlns:c16="http://schemas.microsoft.com/office/drawing/2014/chart" uri="{C3380CC4-5D6E-409C-BE32-E72D297353CC}">
              <c16:uniqueId val="{0000000E-9286-45C1-9AED-022C80B1BDA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306799336650083E-2"/>
          <c:y val="0.86723814695576851"/>
          <c:w val="0.93953208585245251"/>
          <c:h val="0.103605323670824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Gill Sans MT" panose="020B0502020104020203"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prstDash val="solid"/>
      <a:round/>
    </a:ln>
    <a:effectLst/>
  </c:spPr>
  <c:txPr>
    <a:bodyPr/>
    <a:lstStyle/>
    <a:p>
      <a:pPr>
        <a:defRPr sz="1000"/>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424705782744897E-2"/>
          <c:y val="6.3751164895125667E-2"/>
          <c:w val="0.83543015832698331"/>
          <c:h val="0.48771500474962071"/>
        </c:manualLayout>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07-46A4-BF59-F18B87C060F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07-46A4-BF59-F18B87C060F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D07-46A4-BF59-F18B87C060F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DD07-46A4-BF59-F18B87C060F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DD07-46A4-BF59-F18B87C060FB}"/>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DD07-46A4-BF59-F18B87C060FB}"/>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DD07-46A4-BF59-F18B87C060FB}"/>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DD07-46A4-BF59-F18B87C060FB}"/>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DD07-46A4-BF59-F18B87C060FB}"/>
              </c:ext>
            </c:extLst>
          </c:dPt>
          <c:dLbls>
            <c:dLbl>
              <c:idx val="0"/>
              <c:delete val="1"/>
              <c:extLst>
                <c:ext xmlns:c15="http://schemas.microsoft.com/office/drawing/2012/chart" uri="{CE6537A1-D6FC-4f65-9D91-7224C49458BB}"/>
                <c:ext xmlns:c16="http://schemas.microsoft.com/office/drawing/2014/chart" uri="{C3380CC4-5D6E-409C-BE32-E72D297353CC}">
                  <c16:uniqueId val="{00000001-DD07-46A4-BF59-F18B87C060FB}"/>
                </c:ext>
              </c:extLst>
            </c:dLbl>
            <c:dLbl>
              <c:idx val="1"/>
              <c:layout>
                <c:manualLayout>
                  <c:x val="-3.4344526289052581E-2"/>
                  <c:y val="-2.7255709674369605E-2"/>
                </c:manualLayout>
              </c:layout>
              <c:tx>
                <c:rich>
                  <a:bodyPr/>
                  <a:lstStyle/>
                  <a:p>
                    <a:fld id="{93E89A4F-5E74-4E13-B65E-4B268FE39596}" type="VALUE">
                      <a:rPr lang="en-US"/>
                      <a:pPr/>
                      <a:t>[VRIJEDNOST]</a:t>
                    </a:fld>
                    <a:r>
                      <a:rPr lang="en-US"/>
                      <a:t> nadzora, 29 mjera</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07-46A4-BF59-F18B87C060FB}"/>
                </c:ext>
              </c:extLst>
            </c:dLbl>
            <c:dLbl>
              <c:idx val="2"/>
              <c:tx>
                <c:rich>
                  <a:bodyPr/>
                  <a:lstStyle/>
                  <a:p>
                    <a:fld id="{6A889053-D82F-47E7-9EC4-B7644D17CD11}" type="VALUE">
                      <a:rPr lang="en-US"/>
                      <a:pPr/>
                      <a:t>[VRIJEDNOST]</a:t>
                    </a:fld>
                    <a:r>
                      <a:rPr lang="en-US"/>
                      <a:t> nadzora, 66 mjera</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D07-46A4-BF59-F18B87C060FB}"/>
                </c:ext>
              </c:extLst>
            </c:dLbl>
            <c:dLbl>
              <c:idx val="3"/>
              <c:delete val="1"/>
              <c:extLst>
                <c:ext xmlns:c15="http://schemas.microsoft.com/office/drawing/2012/chart" uri="{CE6537A1-D6FC-4f65-9D91-7224C49458BB}"/>
                <c:ext xmlns:c16="http://schemas.microsoft.com/office/drawing/2014/chart" uri="{C3380CC4-5D6E-409C-BE32-E72D297353CC}">
                  <c16:uniqueId val="{00000007-DD07-46A4-BF59-F18B87C060FB}"/>
                </c:ext>
              </c:extLst>
            </c:dLbl>
            <c:dLbl>
              <c:idx val="4"/>
              <c:tx>
                <c:rich>
                  <a:bodyPr/>
                  <a:lstStyle/>
                  <a:p>
                    <a:fld id="{FC467F0A-4F72-4838-BAA1-9E884138D1C7}" type="VALUE">
                      <a:rPr lang="en-US"/>
                      <a:pPr/>
                      <a:t>[VRIJEDNOST]</a:t>
                    </a:fld>
                    <a:r>
                      <a:rPr lang="en-US"/>
                      <a:t> nadzor, 7 mjera</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D07-46A4-BF59-F18B87C060FB}"/>
                </c:ext>
              </c:extLst>
            </c:dLbl>
            <c:dLbl>
              <c:idx val="5"/>
              <c:tx>
                <c:rich>
                  <a:bodyPr/>
                  <a:lstStyle/>
                  <a:p>
                    <a:fld id="{6395CD9C-1B30-4EED-A9A2-7C479C33CA2A}" type="VALUE">
                      <a:rPr lang="en-US"/>
                      <a:pPr/>
                      <a:t>[VRIJEDNOST]</a:t>
                    </a:fld>
                    <a:r>
                      <a:rPr lang="en-US"/>
                      <a:t> nadzora, 14 mjera</a:t>
                    </a:r>
                  </a:p>
                  <a:p>
                    <a:endParaRPr lang="hr-H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D07-46A4-BF59-F18B87C060FB}"/>
                </c:ext>
              </c:extLst>
            </c:dLbl>
            <c:dLbl>
              <c:idx val="6"/>
              <c:tx>
                <c:rich>
                  <a:bodyPr/>
                  <a:lstStyle/>
                  <a:p>
                    <a:fld id="{D4EBDF21-64BD-4379-81DB-9AA86C82BF2A}" type="VALUE">
                      <a:rPr lang="en-US"/>
                      <a:pPr/>
                      <a:t>[VRIJEDNOST]</a:t>
                    </a:fld>
                    <a:r>
                      <a:rPr lang="en-US"/>
                      <a:t> nadzora, 25 mjera</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D07-46A4-BF59-F18B87C060FB}"/>
                </c:ext>
              </c:extLst>
            </c:dLbl>
            <c:dLbl>
              <c:idx val="7"/>
              <c:layout>
                <c:manualLayout>
                  <c:x val="-8.7806732491771868E-3"/>
                  <c:y val="-1.5406024129750491E-2"/>
                </c:manualLayout>
              </c:layout>
              <c:tx>
                <c:rich>
                  <a:bodyPr/>
                  <a:lstStyle/>
                  <a:p>
                    <a:fld id="{082441C7-2E1F-4DA3-A928-D0363C806BF5}" type="VALUE">
                      <a:rPr lang="en-US"/>
                      <a:pPr/>
                      <a:t>[VRIJEDNOST]</a:t>
                    </a:fld>
                    <a:r>
                      <a:rPr lang="en-US"/>
                      <a:t> nadzor, 16 mjera</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DD07-46A4-BF59-F18B87C060FB}"/>
                </c:ext>
              </c:extLst>
            </c:dLbl>
            <c:dLbl>
              <c:idx val="8"/>
              <c:layout>
                <c:manualLayout>
                  <c:x val="6.6689966979933901E-2"/>
                  <c:y val="-1.2414022861207524E-2"/>
                </c:manualLayout>
              </c:layout>
              <c:tx>
                <c:rich>
                  <a:bodyPr/>
                  <a:lstStyle/>
                  <a:p>
                    <a:fld id="{499686A2-4E68-4464-B0A2-8CD532250AD4}" type="VALUE">
                      <a:rPr lang="en-US"/>
                      <a:pPr/>
                      <a:t>[VRIJEDNOST]</a:t>
                    </a:fld>
                    <a:r>
                      <a:rPr lang="en-US"/>
                      <a:t> nadzor, 5 mjera</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DD07-46A4-BF59-F18B87C060FB}"/>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anose="020B0502020104020203" pitchFamily="34" charset="-18"/>
                    <a:ea typeface="+mn-ea"/>
                    <a:cs typeface="+mn-cs"/>
                  </a:defRPr>
                </a:pPr>
                <a:endParaRPr lang="sr-Latn-RS"/>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Statistika!$C$29:$C$37</c:f>
              <c:strCache>
                <c:ptCount val="9"/>
                <c:pt idx="0">
                  <c:v>Državna tijela</c:v>
                </c:pt>
                <c:pt idx="1">
                  <c:v>Tijela državne uprave</c:v>
                </c:pt>
                <c:pt idx="2">
                  <c:v>Jedinica lokalne ili područne (regionalne) samouprave</c:v>
                </c:pt>
                <c:pt idx="3">
                  <c:v>Sudovi i pravosudna tijela</c:v>
                </c:pt>
                <c:pt idx="4">
                  <c:v>Agencije i druge samostalne pravne osobe s javnim ovlastima RH</c:v>
                </c:pt>
                <c:pt idx="5">
                  <c:v>Ustanove</c:v>
                </c:pt>
                <c:pt idx="6">
                  <c:v>Trgovačka društva</c:v>
                </c:pt>
                <c:pt idx="7">
                  <c:v>Udruge</c:v>
                </c:pt>
                <c:pt idx="8">
                  <c:v>Ostale pravne osobe i tijela s javnim ovlastima</c:v>
                </c:pt>
              </c:strCache>
            </c:strRef>
          </c:cat>
          <c:val>
            <c:numRef>
              <c:f>Statistika!$D$29:$D$37</c:f>
              <c:numCache>
                <c:formatCode>General</c:formatCode>
                <c:ptCount val="9"/>
                <c:pt idx="0">
                  <c:v>0</c:v>
                </c:pt>
                <c:pt idx="1">
                  <c:v>3</c:v>
                </c:pt>
                <c:pt idx="2">
                  <c:v>7</c:v>
                </c:pt>
                <c:pt idx="3">
                  <c:v>0</c:v>
                </c:pt>
                <c:pt idx="4">
                  <c:v>1</c:v>
                </c:pt>
                <c:pt idx="5">
                  <c:v>3</c:v>
                </c:pt>
                <c:pt idx="6">
                  <c:v>4</c:v>
                </c:pt>
                <c:pt idx="7">
                  <c:v>1</c:v>
                </c:pt>
                <c:pt idx="8">
                  <c:v>1</c:v>
                </c:pt>
              </c:numCache>
            </c:numRef>
          </c:val>
          <c:extLst>
            <c:ext xmlns:c16="http://schemas.microsoft.com/office/drawing/2014/chart" uri="{C3380CC4-5D6E-409C-BE32-E72D297353CC}">
              <c16:uniqueId val="{00000012-DD07-46A4-BF59-F18B87C060FB}"/>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4-DD07-46A4-BF59-F18B87C060F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6-DD07-46A4-BF59-F18B87C060F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8-DD07-46A4-BF59-F18B87C060F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A-DD07-46A4-BF59-F18B87C060F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C-DD07-46A4-BF59-F18B87C060FB}"/>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E-DD07-46A4-BF59-F18B87C060FB}"/>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0-DD07-46A4-BF59-F18B87C060FB}"/>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2-DD07-46A4-BF59-F18B87C060FB}"/>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4-DD07-46A4-BF59-F18B87C060FB}"/>
              </c:ext>
            </c:extLst>
          </c:dPt>
          <c:cat>
            <c:strRef>
              <c:f>Statistika!$C$29:$C$37</c:f>
              <c:strCache>
                <c:ptCount val="9"/>
                <c:pt idx="0">
                  <c:v>Državna tijela</c:v>
                </c:pt>
                <c:pt idx="1">
                  <c:v>Tijela državne uprave</c:v>
                </c:pt>
                <c:pt idx="2">
                  <c:v>Jedinica lokalne ili područne (regionalne) samouprave</c:v>
                </c:pt>
                <c:pt idx="3">
                  <c:v>Sudovi i pravosudna tijela</c:v>
                </c:pt>
                <c:pt idx="4">
                  <c:v>Agencije i druge samostalne pravne osobe s javnim ovlastima RH</c:v>
                </c:pt>
                <c:pt idx="5">
                  <c:v>Ustanove</c:v>
                </c:pt>
                <c:pt idx="6">
                  <c:v>Trgovačka društva</c:v>
                </c:pt>
                <c:pt idx="7">
                  <c:v>Udruge</c:v>
                </c:pt>
                <c:pt idx="8">
                  <c:v>Ostale pravne osobe i tijela s javnim ovlastima</c:v>
                </c:pt>
              </c:strCache>
            </c:strRef>
          </c:cat>
          <c:val>
            <c:numRef>
              <c:f>Statistika!$E$29:$E$37</c:f>
              <c:numCache>
                <c:formatCode>General</c:formatCode>
                <c:ptCount val="9"/>
                <c:pt idx="0">
                  <c:v>0</c:v>
                </c:pt>
                <c:pt idx="1">
                  <c:v>29</c:v>
                </c:pt>
                <c:pt idx="2">
                  <c:v>66</c:v>
                </c:pt>
                <c:pt idx="3">
                  <c:v>0</c:v>
                </c:pt>
                <c:pt idx="4">
                  <c:v>7</c:v>
                </c:pt>
                <c:pt idx="5">
                  <c:v>14</c:v>
                </c:pt>
                <c:pt idx="6">
                  <c:v>25</c:v>
                </c:pt>
                <c:pt idx="7">
                  <c:v>16</c:v>
                </c:pt>
                <c:pt idx="8">
                  <c:v>5</c:v>
                </c:pt>
              </c:numCache>
            </c:numRef>
          </c:val>
          <c:extLst>
            <c:ext xmlns:c16="http://schemas.microsoft.com/office/drawing/2014/chart" uri="{C3380CC4-5D6E-409C-BE32-E72D297353CC}">
              <c16:uniqueId val="{00000025-DD07-46A4-BF59-F18B87C060FB}"/>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68001016002032"/>
          <c:y val="0.63664816340496022"/>
          <c:w val="0.81048568283803235"/>
          <c:h val="0.299315244256560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anose="020B0502020104020203"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a:noFill/>
    </a:ln>
    <a:effectLst/>
  </c:spPr>
  <c:txPr>
    <a:bodyPr/>
    <a:lstStyle/>
    <a:p>
      <a:pPr>
        <a:defRPr>
          <a:solidFill>
            <a:schemeClr val="tx1"/>
          </a:solidFill>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'Proaktivna Nova'!$B$1</c:f>
              <c:strCache>
                <c:ptCount val="1"/>
                <c:pt idx="0">
                  <c:v>Da</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Nova'!$A$2:$A$3</c:f>
              <c:strCache>
                <c:ptCount val="2"/>
                <c:pt idx="0">
                  <c:v>objava zakona i ostalih propisa (ili poveznica na njih) koji se odnose na područje rada</c:v>
                </c:pt>
                <c:pt idx="1">
                  <c:v>objava općih akata i odluka kojima se utječe na interese korisnika</c:v>
                </c:pt>
              </c:strCache>
            </c:strRef>
          </c:cat>
          <c:val>
            <c:numRef>
              <c:f>'Proaktivna Nova'!$B$2:$B$3</c:f>
              <c:numCache>
                <c:formatCode>General</c:formatCode>
                <c:ptCount val="2"/>
                <c:pt idx="0">
                  <c:v>3858</c:v>
                </c:pt>
                <c:pt idx="1">
                  <c:v>3854</c:v>
                </c:pt>
              </c:numCache>
            </c:numRef>
          </c:val>
          <c:extLst>
            <c:ext xmlns:c16="http://schemas.microsoft.com/office/drawing/2014/chart" uri="{C3380CC4-5D6E-409C-BE32-E72D297353CC}">
              <c16:uniqueId val="{00000000-F0D6-4CB2-B15C-D9B7BC6B3253}"/>
            </c:ext>
          </c:extLst>
        </c:ser>
        <c:ser>
          <c:idx val="1"/>
          <c:order val="1"/>
          <c:tx>
            <c:strRef>
              <c:f>'Proaktivna Nova'!$C$1</c:f>
              <c:strCache>
                <c:ptCount val="1"/>
                <c:pt idx="0">
                  <c:v>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Nova'!$A$2:$A$3</c:f>
              <c:strCache>
                <c:ptCount val="2"/>
                <c:pt idx="0">
                  <c:v>objava zakona i ostalih propisa (ili poveznica na njih) koji se odnose na područje rada</c:v>
                </c:pt>
                <c:pt idx="1">
                  <c:v>objava općih akata i odluka kojima se utječe na interese korisnika</c:v>
                </c:pt>
              </c:strCache>
            </c:strRef>
          </c:cat>
          <c:val>
            <c:numRef>
              <c:f>'Proaktivna Nova'!$C$2:$C$3</c:f>
              <c:numCache>
                <c:formatCode>General</c:formatCode>
                <c:ptCount val="2"/>
                <c:pt idx="0">
                  <c:v>595</c:v>
                </c:pt>
                <c:pt idx="1">
                  <c:v>664</c:v>
                </c:pt>
              </c:numCache>
            </c:numRef>
          </c:val>
          <c:extLst>
            <c:ext xmlns:c16="http://schemas.microsoft.com/office/drawing/2014/chart" uri="{C3380CC4-5D6E-409C-BE32-E72D297353CC}">
              <c16:uniqueId val="{00000001-F0D6-4CB2-B15C-D9B7BC6B3253}"/>
            </c:ext>
          </c:extLst>
        </c:ser>
        <c:ser>
          <c:idx val="2"/>
          <c:order val="2"/>
          <c:tx>
            <c:strRef>
              <c:f>'Proaktivna Nova'!$D$1</c:f>
              <c:strCache>
                <c:ptCount val="1"/>
                <c:pt idx="0">
                  <c:v>Djelomično</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Nova'!$A$2:$A$3</c:f>
              <c:strCache>
                <c:ptCount val="2"/>
                <c:pt idx="0">
                  <c:v>objava zakona i ostalih propisa (ili poveznica na njih) koji se odnose na područje rada</c:v>
                </c:pt>
                <c:pt idx="1">
                  <c:v>objava općih akata i odluka kojima se utječe na interese korisnika</c:v>
                </c:pt>
              </c:strCache>
            </c:strRef>
          </c:cat>
          <c:val>
            <c:numRef>
              <c:f>'Proaktivna Nova'!$D$2:$D$3</c:f>
              <c:numCache>
                <c:formatCode>General</c:formatCode>
                <c:ptCount val="2"/>
                <c:pt idx="0">
                  <c:v>532</c:v>
                </c:pt>
                <c:pt idx="1">
                  <c:v>467</c:v>
                </c:pt>
              </c:numCache>
            </c:numRef>
          </c:val>
          <c:extLst>
            <c:ext xmlns:c16="http://schemas.microsoft.com/office/drawing/2014/chart" uri="{C3380CC4-5D6E-409C-BE32-E72D297353CC}">
              <c16:uniqueId val="{00000002-F0D6-4CB2-B15C-D9B7BC6B3253}"/>
            </c:ext>
          </c:extLst>
        </c:ser>
        <c:dLbls>
          <c:showLegendKey val="0"/>
          <c:showVal val="0"/>
          <c:showCatName val="0"/>
          <c:showSerName val="0"/>
          <c:showPercent val="0"/>
          <c:showBubbleSize val="0"/>
        </c:dLbls>
        <c:gapWidth val="150"/>
        <c:shape val="cylinder"/>
        <c:axId val="312036864"/>
        <c:axId val="288562496"/>
        <c:axId val="0"/>
      </c:bar3DChart>
      <c:catAx>
        <c:axId val="312036864"/>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Gill Sans MT" pitchFamily="34" charset="-18"/>
                <a:ea typeface="+mn-ea"/>
                <a:cs typeface="+mn-cs"/>
              </a:defRPr>
            </a:pPr>
            <a:endParaRPr lang="sr-Latn-RS"/>
          </a:p>
        </c:txPr>
        <c:crossAx val="288562496"/>
        <c:crosses val="autoZero"/>
        <c:auto val="1"/>
        <c:lblAlgn val="ctr"/>
        <c:lblOffset val="100"/>
        <c:noMultiLvlLbl val="0"/>
      </c:catAx>
      <c:valAx>
        <c:axId val="288562496"/>
        <c:scaling>
          <c:orientation val="minMax"/>
        </c:scaling>
        <c:delete val="0"/>
        <c:axPos val="l"/>
        <c:majorGridlines>
          <c:spPr>
            <a:ln w="6350" cap="flat" cmpd="sng" algn="ctr">
              <a:solidFill>
                <a:schemeClr val="tx1">
                  <a:tint val="75000"/>
                </a:schemeClr>
              </a:solidFill>
              <a:prstDash val="solid"/>
              <a:round/>
            </a:ln>
            <a:effectLst/>
          </c:spPr>
        </c:majorGridlines>
        <c:numFmt formatCode="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Gill Sans MT" pitchFamily="34" charset="-18"/>
                <a:ea typeface="+mn-ea"/>
                <a:cs typeface="+mn-cs"/>
              </a:defRPr>
            </a:pPr>
            <a:endParaRPr lang="sr-Latn-RS"/>
          </a:p>
        </c:txPr>
        <c:crossAx val="31203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legend>
    <c:plotVisOnly val="1"/>
    <c:dispBlanksAs val="gap"/>
    <c:showDLblsOverMax val="0"/>
  </c:chart>
  <c:spPr>
    <a:solidFill>
      <a:schemeClr val="bg1"/>
    </a:solidFill>
    <a:ln w="6350" cap="flat" cmpd="sng" algn="ctr">
      <a:noFill/>
      <a:prstDash val="solid"/>
      <a:round/>
    </a:ln>
    <a:effectLst/>
  </c:spPr>
  <c:txPr>
    <a:bodyPr/>
    <a:lstStyle/>
    <a:p>
      <a:pPr>
        <a:defRPr sz="900" b="1">
          <a:latin typeface="Gill Sans MT" pitchFamily="34" charset="-18"/>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885072232527771"/>
          <c:y val="2.5157232704402517E-2"/>
          <c:w val="0.47449917195276453"/>
          <c:h val="0.87226428600370065"/>
        </c:manualLayout>
      </c:layout>
      <c:bar3DChart>
        <c:barDir val="bar"/>
        <c:grouping val="percentStacked"/>
        <c:varyColors val="0"/>
        <c:ser>
          <c:idx val="0"/>
          <c:order val="0"/>
          <c:tx>
            <c:v>Da</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Nova'!$A$6:$A$16</c:f>
              <c:strCache>
                <c:ptCount val="11"/>
                <c:pt idx="0">
                  <c:v>objava općeg akta o jednostavnoj nabavi</c:v>
                </c:pt>
                <c:pt idx="1">
                  <c:v>objava obavijesti o sukobu interesa sukladno ZJN</c:v>
                </c:pt>
                <c:pt idx="2">
                  <c:v>objava registra ugovora javne nabave</c:v>
                </c:pt>
                <c:pt idx="3">
                  <c:v>objava plana nabave</c:v>
                </c:pt>
                <c:pt idx="4">
                  <c:v>objava popis korisnika donacija i sponzorstava</c:v>
                </c:pt>
                <c:pt idx="5">
                  <c:v>objava izvješća o izvršenju proračuna ili financijskog plana</c:v>
                </c:pt>
                <c:pt idx="6">
                  <c:v>objava financijskog izvješća</c:v>
                </c:pt>
                <c:pt idx="7">
                  <c:v>objava proračuna/financijskog plana</c:v>
                </c:pt>
                <c:pt idx="8">
                  <c:v>objava izvješća o radu</c:v>
                </c:pt>
                <c:pt idx="9">
                  <c:v>objava strateških dokumenata</c:v>
                </c:pt>
                <c:pt idx="10">
                  <c:v>objava godišnjih planova rada</c:v>
                </c:pt>
              </c:strCache>
            </c:strRef>
          </c:cat>
          <c:val>
            <c:numRef>
              <c:f>'Proaktivna Nova'!$B$6:$B$16</c:f>
              <c:numCache>
                <c:formatCode>General</c:formatCode>
                <c:ptCount val="11"/>
                <c:pt idx="0">
                  <c:v>3666</c:v>
                </c:pt>
                <c:pt idx="1">
                  <c:v>2891</c:v>
                </c:pt>
                <c:pt idx="2">
                  <c:v>2865</c:v>
                </c:pt>
                <c:pt idx="3">
                  <c:v>3653</c:v>
                </c:pt>
                <c:pt idx="4">
                  <c:v>1698</c:v>
                </c:pt>
                <c:pt idx="5">
                  <c:v>3737</c:v>
                </c:pt>
                <c:pt idx="6">
                  <c:v>4153</c:v>
                </c:pt>
                <c:pt idx="7">
                  <c:v>4091</c:v>
                </c:pt>
                <c:pt idx="8">
                  <c:v>3251</c:v>
                </c:pt>
                <c:pt idx="9">
                  <c:v>3084</c:v>
                </c:pt>
                <c:pt idx="10">
                  <c:v>3779</c:v>
                </c:pt>
              </c:numCache>
            </c:numRef>
          </c:val>
          <c:extLst>
            <c:ext xmlns:c16="http://schemas.microsoft.com/office/drawing/2014/chart" uri="{C3380CC4-5D6E-409C-BE32-E72D297353CC}">
              <c16:uniqueId val="{00000000-EC80-497F-904F-723AF59422D0}"/>
            </c:ext>
          </c:extLst>
        </c:ser>
        <c:ser>
          <c:idx val="1"/>
          <c:order val="1"/>
          <c:tx>
            <c:v>Ne</c:v>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Nova'!$A$6:$A$16</c:f>
              <c:strCache>
                <c:ptCount val="11"/>
                <c:pt idx="0">
                  <c:v>objava općeg akta o jednostavnoj nabavi</c:v>
                </c:pt>
                <c:pt idx="1">
                  <c:v>objava obavijesti o sukobu interesa sukladno ZJN</c:v>
                </c:pt>
                <c:pt idx="2">
                  <c:v>objava registra ugovora javne nabave</c:v>
                </c:pt>
                <c:pt idx="3">
                  <c:v>objava plana nabave</c:v>
                </c:pt>
                <c:pt idx="4">
                  <c:v>objava popis korisnika donacija i sponzorstava</c:v>
                </c:pt>
                <c:pt idx="5">
                  <c:v>objava izvješća o izvršenju proračuna ili financijskog plana</c:v>
                </c:pt>
                <c:pt idx="6">
                  <c:v>objava financijskog izvješća</c:v>
                </c:pt>
                <c:pt idx="7">
                  <c:v>objava proračuna/financijskog plana</c:v>
                </c:pt>
                <c:pt idx="8">
                  <c:v>objava izvješća o radu</c:v>
                </c:pt>
                <c:pt idx="9">
                  <c:v>objava strateških dokumenata</c:v>
                </c:pt>
                <c:pt idx="10">
                  <c:v>objava godišnjih planova rada</c:v>
                </c:pt>
              </c:strCache>
            </c:strRef>
          </c:cat>
          <c:val>
            <c:numRef>
              <c:f>'Proaktivna Nova'!$C$6:$C$16</c:f>
              <c:numCache>
                <c:formatCode>General</c:formatCode>
                <c:ptCount val="11"/>
                <c:pt idx="0">
                  <c:v>665</c:v>
                </c:pt>
                <c:pt idx="1">
                  <c:v>1056</c:v>
                </c:pt>
                <c:pt idx="2">
                  <c:v>1041</c:v>
                </c:pt>
                <c:pt idx="3">
                  <c:v>547</c:v>
                </c:pt>
                <c:pt idx="4">
                  <c:v>1507</c:v>
                </c:pt>
                <c:pt idx="5">
                  <c:v>1056</c:v>
                </c:pt>
                <c:pt idx="6">
                  <c:v>687</c:v>
                </c:pt>
                <c:pt idx="7">
                  <c:v>738</c:v>
                </c:pt>
                <c:pt idx="8">
                  <c:v>1008</c:v>
                </c:pt>
                <c:pt idx="9">
                  <c:v>930</c:v>
                </c:pt>
                <c:pt idx="10">
                  <c:v>643</c:v>
                </c:pt>
              </c:numCache>
            </c:numRef>
          </c:val>
          <c:extLst>
            <c:ext xmlns:c16="http://schemas.microsoft.com/office/drawing/2014/chart" uri="{C3380CC4-5D6E-409C-BE32-E72D297353CC}">
              <c16:uniqueId val="{00000001-EC80-497F-904F-723AF59422D0}"/>
            </c:ext>
          </c:extLst>
        </c:ser>
        <c:ser>
          <c:idx val="2"/>
          <c:order val="2"/>
          <c:tx>
            <c:v>Djelomično</c:v>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Nova'!$A$6:$A$16</c:f>
              <c:strCache>
                <c:ptCount val="11"/>
                <c:pt idx="0">
                  <c:v>objava općeg akta o jednostavnoj nabavi</c:v>
                </c:pt>
                <c:pt idx="1">
                  <c:v>objava obavijesti o sukobu interesa sukladno ZJN</c:v>
                </c:pt>
                <c:pt idx="2">
                  <c:v>objava registra ugovora javne nabave</c:v>
                </c:pt>
                <c:pt idx="3">
                  <c:v>objava plana nabave</c:v>
                </c:pt>
                <c:pt idx="4">
                  <c:v>objava popis korisnika donacija i sponzorstava</c:v>
                </c:pt>
                <c:pt idx="5">
                  <c:v>objava izvješća o izvršenju proračuna ili financijskog plana</c:v>
                </c:pt>
                <c:pt idx="6">
                  <c:v>objava financijskog izvješća</c:v>
                </c:pt>
                <c:pt idx="7">
                  <c:v>objava proračuna/financijskog plana</c:v>
                </c:pt>
                <c:pt idx="8">
                  <c:v>objava izvješća o radu</c:v>
                </c:pt>
                <c:pt idx="9">
                  <c:v>objava strateških dokumenata</c:v>
                </c:pt>
                <c:pt idx="10">
                  <c:v>objava godišnjih planova rada</c:v>
                </c:pt>
              </c:strCache>
            </c:strRef>
          </c:cat>
          <c:val>
            <c:numRef>
              <c:f>'Proaktivna Nova'!$D$6:$D$16</c:f>
              <c:numCache>
                <c:formatCode>General</c:formatCode>
                <c:ptCount val="11"/>
                <c:pt idx="0">
                  <c:v>69</c:v>
                </c:pt>
                <c:pt idx="1">
                  <c:v>110</c:v>
                </c:pt>
                <c:pt idx="2">
                  <c:v>251</c:v>
                </c:pt>
                <c:pt idx="3">
                  <c:v>125</c:v>
                </c:pt>
                <c:pt idx="4">
                  <c:v>346</c:v>
                </c:pt>
                <c:pt idx="5">
                  <c:v>192</c:v>
                </c:pt>
                <c:pt idx="6">
                  <c:v>145</c:v>
                </c:pt>
                <c:pt idx="7">
                  <c:v>156</c:v>
                </c:pt>
                <c:pt idx="8">
                  <c:v>392</c:v>
                </c:pt>
                <c:pt idx="9">
                  <c:v>342</c:v>
                </c:pt>
                <c:pt idx="10">
                  <c:v>294</c:v>
                </c:pt>
              </c:numCache>
            </c:numRef>
          </c:val>
          <c:extLst>
            <c:ext xmlns:c16="http://schemas.microsoft.com/office/drawing/2014/chart" uri="{C3380CC4-5D6E-409C-BE32-E72D297353CC}">
              <c16:uniqueId val="{00000002-EC80-497F-904F-723AF59422D0}"/>
            </c:ext>
          </c:extLst>
        </c:ser>
        <c:ser>
          <c:idx val="3"/>
          <c:order val="3"/>
          <c:tx>
            <c:v>Nije primjenjivo</c:v>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Nova'!$A$6:$A$16</c:f>
              <c:strCache>
                <c:ptCount val="11"/>
                <c:pt idx="0">
                  <c:v>objava općeg akta o jednostavnoj nabavi</c:v>
                </c:pt>
                <c:pt idx="1">
                  <c:v>objava obavijesti o sukobu interesa sukladno ZJN</c:v>
                </c:pt>
                <c:pt idx="2">
                  <c:v>objava registra ugovora javne nabave</c:v>
                </c:pt>
                <c:pt idx="3">
                  <c:v>objava plana nabave</c:v>
                </c:pt>
                <c:pt idx="4">
                  <c:v>objava popis korisnika donacija i sponzorstava</c:v>
                </c:pt>
                <c:pt idx="5">
                  <c:v>objava izvješća o izvršenju proračuna ili financijskog plana</c:v>
                </c:pt>
                <c:pt idx="6">
                  <c:v>objava financijskog izvješća</c:v>
                </c:pt>
                <c:pt idx="7">
                  <c:v>objava proračuna/financijskog plana</c:v>
                </c:pt>
                <c:pt idx="8">
                  <c:v>objava izvješća o radu</c:v>
                </c:pt>
                <c:pt idx="9">
                  <c:v>objava strateških dokumenata</c:v>
                </c:pt>
                <c:pt idx="10">
                  <c:v>objava godišnjih planova rada</c:v>
                </c:pt>
              </c:strCache>
            </c:strRef>
          </c:cat>
          <c:val>
            <c:numRef>
              <c:f>'Proaktivna Nova'!$E$6:$E$16</c:f>
              <c:numCache>
                <c:formatCode>General</c:formatCode>
                <c:ptCount val="11"/>
                <c:pt idx="0">
                  <c:v>585</c:v>
                </c:pt>
                <c:pt idx="1">
                  <c:v>928</c:v>
                </c:pt>
                <c:pt idx="2">
                  <c:v>828</c:v>
                </c:pt>
                <c:pt idx="3">
                  <c:v>660</c:v>
                </c:pt>
                <c:pt idx="4">
                  <c:v>1434</c:v>
                </c:pt>
                <c:pt idx="8">
                  <c:v>334</c:v>
                </c:pt>
                <c:pt idx="9">
                  <c:v>629</c:v>
                </c:pt>
                <c:pt idx="10">
                  <c:v>269</c:v>
                </c:pt>
              </c:numCache>
            </c:numRef>
          </c:val>
          <c:extLst>
            <c:ext xmlns:c16="http://schemas.microsoft.com/office/drawing/2014/chart" uri="{C3380CC4-5D6E-409C-BE32-E72D297353CC}">
              <c16:uniqueId val="{00000003-EC80-497F-904F-723AF59422D0}"/>
            </c:ext>
          </c:extLst>
        </c:ser>
        <c:dLbls>
          <c:showLegendKey val="0"/>
          <c:showVal val="0"/>
          <c:showCatName val="0"/>
          <c:showSerName val="0"/>
          <c:showPercent val="0"/>
          <c:showBubbleSize val="0"/>
        </c:dLbls>
        <c:gapWidth val="150"/>
        <c:shape val="cylinder"/>
        <c:axId val="290369024"/>
        <c:axId val="288561344"/>
        <c:axId val="0"/>
      </c:bar3DChart>
      <c:catAx>
        <c:axId val="290369024"/>
        <c:scaling>
          <c:orientation val="minMax"/>
        </c:scaling>
        <c:delete val="0"/>
        <c:axPos val="l"/>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crossAx val="288561344"/>
        <c:crosses val="autoZero"/>
        <c:auto val="1"/>
        <c:lblAlgn val="ctr"/>
        <c:lblOffset val="100"/>
        <c:noMultiLvlLbl val="0"/>
      </c:catAx>
      <c:valAx>
        <c:axId val="288561344"/>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crossAx val="29036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legend>
    <c:plotVisOnly val="1"/>
    <c:dispBlanksAs val="gap"/>
    <c:showDLblsOverMax val="0"/>
  </c:chart>
  <c:spPr>
    <a:solidFill>
      <a:schemeClr val="bg1"/>
    </a:solidFill>
    <a:ln w="6350" cap="flat" cmpd="sng" algn="ctr">
      <a:noFill/>
      <a:prstDash val="solid"/>
      <a:round/>
    </a:ln>
    <a:effectLst/>
  </c:spPr>
  <c:txPr>
    <a:bodyPr/>
    <a:lstStyle/>
    <a:p>
      <a:pPr>
        <a:defRPr sz="900" b="1">
          <a:latin typeface="Gill Sans MT" pitchFamily="34" charset="-18"/>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v>Da</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Nova'!$A$19:$A$21</c:f>
              <c:strCache>
                <c:ptCount val="3"/>
                <c:pt idx="0">
                  <c:v>objava informacija o raspisanim natječajima</c:v>
                </c:pt>
                <c:pt idx="1">
                  <c:v>objava obavijesti o ishodu natječaja</c:v>
                </c:pt>
                <c:pt idx="2">
                  <c:v>objava informacija o unutarnjem ustrojstvu s kontaktima</c:v>
                </c:pt>
              </c:strCache>
            </c:strRef>
          </c:cat>
          <c:val>
            <c:numRef>
              <c:f>'Proaktivna Nova'!$B$19:$B$21</c:f>
              <c:numCache>
                <c:formatCode>General</c:formatCode>
                <c:ptCount val="3"/>
                <c:pt idx="0">
                  <c:v>4176</c:v>
                </c:pt>
                <c:pt idx="1">
                  <c:v>3055</c:v>
                </c:pt>
                <c:pt idx="2">
                  <c:v>4050</c:v>
                </c:pt>
              </c:numCache>
            </c:numRef>
          </c:val>
          <c:extLst>
            <c:ext xmlns:c16="http://schemas.microsoft.com/office/drawing/2014/chart" uri="{C3380CC4-5D6E-409C-BE32-E72D297353CC}">
              <c16:uniqueId val="{00000000-23D3-437D-9C9F-780CA74D3CCC}"/>
            </c:ext>
          </c:extLst>
        </c:ser>
        <c:ser>
          <c:idx val="1"/>
          <c:order val="1"/>
          <c:tx>
            <c:v>Ne</c:v>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Nova'!$A$19:$A$21</c:f>
              <c:strCache>
                <c:ptCount val="3"/>
                <c:pt idx="0">
                  <c:v>objava informacija o raspisanim natječajima</c:v>
                </c:pt>
                <c:pt idx="1">
                  <c:v>objava obavijesti o ishodu natječaja</c:v>
                </c:pt>
                <c:pt idx="2">
                  <c:v>objava informacija o unutarnjem ustrojstvu s kontaktima</c:v>
                </c:pt>
              </c:strCache>
            </c:strRef>
          </c:cat>
          <c:val>
            <c:numRef>
              <c:f>'Proaktivna Nova'!$C$19:$C$21</c:f>
              <c:numCache>
                <c:formatCode>General</c:formatCode>
                <c:ptCount val="3"/>
                <c:pt idx="0">
                  <c:v>331</c:v>
                </c:pt>
                <c:pt idx="1">
                  <c:v>1059</c:v>
                </c:pt>
                <c:pt idx="2">
                  <c:v>515</c:v>
                </c:pt>
              </c:numCache>
            </c:numRef>
          </c:val>
          <c:extLst>
            <c:ext xmlns:c16="http://schemas.microsoft.com/office/drawing/2014/chart" uri="{C3380CC4-5D6E-409C-BE32-E72D297353CC}">
              <c16:uniqueId val="{00000001-23D3-437D-9C9F-780CA74D3CCC}"/>
            </c:ext>
          </c:extLst>
        </c:ser>
        <c:ser>
          <c:idx val="2"/>
          <c:order val="2"/>
          <c:tx>
            <c:v>Djelomično</c:v>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Nova'!$A$19:$A$21</c:f>
              <c:strCache>
                <c:ptCount val="3"/>
                <c:pt idx="0">
                  <c:v>objava informacija o raspisanim natječajima</c:v>
                </c:pt>
                <c:pt idx="1">
                  <c:v>objava obavijesti o ishodu natječaja</c:v>
                </c:pt>
                <c:pt idx="2">
                  <c:v>objava informacija o unutarnjem ustrojstvu s kontaktima</c:v>
                </c:pt>
              </c:strCache>
            </c:strRef>
          </c:cat>
          <c:val>
            <c:numRef>
              <c:f>'Proaktivna Nova'!$D$19:$D$21</c:f>
              <c:numCache>
                <c:formatCode>General</c:formatCode>
                <c:ptCount val="3"/>
                <c:pt idx="0">
                  <c:v>97</c:v>
                </c:pt>
                <c:pt idx="1">
                  <c:v>397</c:v>
                </c:pt>
                <c:pt idx="2">
                  <c:v>420</c:v>
                </c:pt>
              </c:numCache>
            </c:numRef>
          </c:val>
          <c:extLst>
            <c:ext xmlns:c16="http://schemas.microsoft.com/office/drawing/2014/chart" uri="{C3380CC4-5D6E-409C-BE32-E72D297353CC}">
              <c16:uniqueId val="{00000002-23D3-437D-9C9F-780CA74D3CCC}"/>
            </c:ext>
          </c:extLst>
        </c:ser>
        <c:ser>
          <c:idx val="3"/>
          <c:order val="3"/>
          <c:tx>
            <c:v>Nije primjenjivo</c:v>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Nova'!$A$19:$A$21</c:f>
              <c:strCache>
                <c:ptCount val="3"/>
                <c:pt idx="0">
                  <c:v>objava informacija o raspisanim natječajima</c:v>
                </c:pt>
                <c:pt idx="1">
                  <c:v>objava obavijesti o ishodu natječaja</c:v>
                </c:pt>
                <c:pt idx="2">
                  <c:v>objava informacija o unutarnjem ustrojstvu s kontaktima</c:v>
                </c:pt>
              </c:strCache>
            </c:strRef>
          </c:cat>
          <c:val>
            <c:numRef>
              <c:f>'Proaktivna Nova'!$E$19:$E$21</c:f>
              <c:numCache>
                <c:formatCode>General</c:formatCode>
                <c:ptCount val="3"/>
                <c:pt idx="0">
                  <c:v>381</c:v>
                </c:pt>
                <c:pt idx="1">
                  <c:v>474</c:v>
                </c:pt>
              </c:numCache>
            </c:numRef>
          </c:val>
          <c:extLst>
            <c:ext xmlns:c16="http://schemas.microsoft.com/office/drawing/2014/chart" uri="{C3380CC4-5D6E-409C-BE32-E72D297353CC}">
              <c16:uniqueId val="{00000003-23D3-437D-9C9F-780CA74D3CCC}"/>
            </c:ext>
          </c:extLst>
        </c:ser>
        <c:dLbls>
          <c:showLegendKey val="0"/>
          <c:showVal val="0"/>
          <c:showCatName val="0"/>
          <c:showSerName val="0"/>
          <c:showPercent val="0"/>
          <c:showBubbleSize val="0"/>
        </c:dLbls>
        <c:gapWidth val="150"/>
        <c:shape val="cylinder"/>
        <c:axId val="290738176"/>
        <c:axId val="312249152"/>
        <c:axId val="0"/>
      </c:bar3DChart>
      <c:catAx>
        <c:axId val="290738176"/>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Gill Sans MT" pitchFamily="34" charset="-18"/>
                <a:ea typeface="+mn-ea"/>
                <a:cs typeface="+mn-cs"/>
              </a:defRPr>
            </a:pPr>
            <a:endParaRPr lang="sr-Latn-RS"/>
          </a:p>
        </c:txPr>
        <c:crossAx val="312249152"/>
        <c:crosses val="autoZero"/>
        <c:auto val="1"/>
        <c:lblAlgn val="ctr"/>
        <c:lblOffset val="100"/>
        <c:noMultiLvlLbl val="0"/>
      </c:catAx>
      <c:valAx>
        <c:axId val="312249152"/>
        <c:scaling>
          <c:orientation val="minMax"/>
        </c:scaling>
        <c:delete val="0"/>
        <c:axPos val="l"/>
        <c:majorGridlines>
          <c:spPr>
            <a:ln w="6350" cap="flat" cmpd="sng" algn="ctr">
              <a:solidFill>
                <a:schemeClr val="tx1">
                  <a:tint val="75000"/>
                </a:schemeClr>
              </a:solidFill>
              <a:prstDash val="solid"/>
              <a:round/>
            </a:ln>
            <a:effectLst/>
          </c:spPr>
        </c:majorGridlines>
        <c:numFmt formatCode="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Gill Sans MT" pitchFamily="34" charset="-18"/>
                <a:ea typeface="+mn-ea"/>
                <a:cs typeface="+mn-cs"/>
              </a:defRPr>
            </a:pPr>
            <a:endParaRPr lang="sr-Latn-RS"/>
          </a:p>
        </c:txPr>
        <c:crossAx val="29073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Gill Sans MT" pitchFamily="34" charset="-18"/>
              <a:ea typeface="+mn-ea"/>
              <a:cs typeface="+mn-cs"/>
            </a:defRPr>
          </a:pPr>
          <a:endParaRPr lang="sr-Latn-RS"/>
        </a:p>
      </c:txPr>
    </c:legend>
    <c:plotVisOnly val="1"/>
    <c:dispBlanksAs val="gap"/>
    <c:showDLblsOverMax val="0"/>
  </c:chart>
  <c:spPr>
    <a:solidFill>
      <a:schemeClr val="bg1"/>
    </a:solidFill>
    <a:ln w="6350" cap="flat" cmpd="sng" algn="ctr">
      <a:noFill/>
      <a:prstDash val="solid"/>
      <a:round/>
    </a:ln>
    <a:effectLst/>
  </c:spPr>
  <c:txPr>
    <a:bodyPr/>
    <a:lstStyle/>
    <a:p>
      <a:pPr>
        <a:defRPr sz="900" b="1">
          <a:latin typeface="Gill Sans MT" pitchFamily="34" charset="-18"/>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926390083592491"/>
          <c:y val="3.6943744752308987E-2"/>
          <c:w val="0.47334683164604424"/>
          <c:h val="0.81241833435807931"/>
        </c:manualLayout>
      </c:layout>
      <c:bar3DChart>
        <c:barDir val="bar"/>
        <c:grouping val="percentStacked"/>
        <c:varyColors val="0"/>
        <c:ser>
          <c:idx val="0"/>
          <c:order val="0"/>
          <c:tx>
            <c:v>Da</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Nova'!$A$24:$A$29</c:f>
              <c:strCache>
                <c:ptCount val="6"/>
                <c:pt idx="0">
                  <c:v>objava dozvole za skupove podataka sukladno Pravilniku o dozvolama</c:v>
                </c:pt>
                <c:pt idx="1">
                  <c:v>omogućavanje preuzimanja podataka u cijelosti</c:v>
                </c:pt>
                <c:pt idx="2">
                  <c:v>objava skupova podataka na Portalu otvorenih podataka</c:v>
                </c:pt>
                <c:pt idx="3">
                  <c:v>objava skupova podataka iz prethodnog pitanja u strojno čitljivom formatu</c:v>
                </c:pt>
                <c:pt idx="4">
                  <c:v>objava skupova podataka koji ne sadrže ograničenja, na internetskim stranicama tijela</c:v>
                </c:pt>
                <c:pt idx="5">
                  <c:v>objava popisa sukpova podataka koje tijelo vodi, s metapodacima</c:v>
                </c:pt>
              </c:strCache>
            </c:strRef>
          </c:cat>
          <c:val>
            <c:numRef>
              <c:f>'Proaktivna Nova'!$B$24:$B$29</c:f>
              <c:numCache>
                <c:formatCode>General</c:formatCode>
                <c:ptCount val="6"/>
                <c:pt idx="0">
                  <c:v>417</c:v>
                </c:pt>
                <c:pt idx="1">
                  <c:v>803</c:v>
                </c:pt>
                <c:pt idx="2">
                  <c:v>490</c:v>
                </c:pt>
                <c:pt idx="3">
                  <c:v>857</c:v>
                </c:pt>
                <c:pt idx="4">
                  <c:v>661</c:v>
                </c:pt>
                <c:pt idx="5">
                  <c:v>682</c:v>
                </c:pt>
              </c:numCache>
            </c:numRef>
          </c:val>
          <c:extLst>
            <c:ext xmlns:c16="http://schemas.microsoft.com/office/drawing/2014/chart" uri="{C3380CC4-5D6E-409C-BE32-E72D297353CC}">
              <c16:uniqueId val="{00000000-EC20-41F3-85CA-9FA4F8B91848}"/>
            </c:ext>
          </c:extLst>
        </c:ser>
        <c:ser>
          <c:idx val="1"/>
          <c:order val="1"/>
          <c:tx>
            <c:v>Ne</c:v>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Nova'!$A$24:$A$29</c:f>
              <c:strCache>
                <c:ptCount val="6"/>
                <c:pt idx="0">
                  <c:v>objava dozvole za skupove podataka sukladno Pravilniku o dozvolama</c:v>
                </c:pt>
                <c:pt idx="1">
                  <c:v>omogućavanje preuzimanja podataka u cijelosti</c:v>
                </c:pt>
                <c:pt idx="2">
                  <c:v>objava skupova podataka na Portalu otvorenih podataka</c:v>
                </c:pt>
                <c:pt idx="3">
                  <c:v>objava skupova podataka iz prethodnog pitanja u strojno čitljivom formatu</c:v>
                </c:pt>
                <c:pt idx="4">
                  <c:v>objava skupova podataka koji ne sadrže ograničenja, na internetskim stranicama tijela</c:v>
                </c:pt>
                <c:pt idx="5">
                  <c:v>objava popisa sukpova podataka koje tijelo vodi, s metapodacima</c:v>
                </c:pt>
              </c:strCache>
            </c:strRef>
          </c:cat>
          <c:val>
            <c:numRef>
              <c:f>'Proaktivna Nova'!$C$24:$C$29</c:f>
              <c:numCache>
                <c:formatCode>General</c:formatCode>
                <c:ptCount val="6"/>
                <c:pt idx="0">
                  <c:v>2248</c:v>
                </c:pt>
                <c:pt idx="1">
                  <c:v>1803</c:v>
                </c:pt>
                <c:pt idx="2">
                  <c:v>2252</c:v>
                </c:pt>
                <c:pt idx="3">
                  <c:v>1834</c:v>
                </c:pt>
                <c:pt idx="4">
                  <c:v>2154</c:v>
                </c:pt>
                <c:pt idx="5">
                  <c:v>2083</c:v>
                </c:pt>
              </c:numCache>
            </c:numRef>
          </c:val>
          <c:extLst>
            <c:ext xmlns:c16="http://schemas.microsoft.com/office/drawing/2014/chart" uri="{C3380CC4-5D6E-409C-BE32-E72D297353CC}">
              <c16:uniqueId val="{00000001-EC20-41F3-85CA-9FA4F8B91848}"/>
            </c:ext>
          </c:extLst>
        </c:ser>
        <c:ser>
          <c:idx val="2"/>
          <c:order val="2"/>
          <c:tx>
            <c:v>Djelomično</c:v>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Nova'!$A$24:$A$29</c:f>
              <c:strCache>
                <c:ptCount val="6"/>
                <c:pt idx="0">
                  <c:v>objava dozvole za skupove podataka sukladno Pravilniku o dozvolama</c:v>
                </c:pt>
                <c:pt idx="1">
                  <c:v>omogućavanje preuzimanja podataka u cijelosti</c:v>
                </c:pt>
                <c:pt idx="2">
                  <c:v>objava skupova podataka na Portalu otvorenih podataka</c:v>
                </c:pt>
                <c:pt idx="3">
                  <c:v>objava skupova podataka iz prethodnog pitanja u strojno čitljivom formatu</c:v>
                </c:pt>
                <c:pt idx="4">
                  <c:v>objava skupova podataka koji ne sadrže ograničenja, na internetskim stranicama tijela</c:v>
                </c:pt>
                <c:pt idx="5">
                  <c:v>objava popisa sukpova podataka koje tijelo vodi, s metapodacima</c:v>
                </c:pt>
              </c:strCache>
            </c:strRef>
          </c:cat>
          <c:val>
            <c:numRef>
              <c:f>'Proaktivna Nova'!$D$24:$D$29</c:f>
              <c:numCache>
                <c:formatCode>General</c:formatCode>
                <c:ptCount val="6"/>
                <c:pt idx="0">
                  <c:v>204</c:v>
                </c:pt>
                <c:pt idx="1">
                  <c:v>266</c:v>
                </c:pt>
                <c:pt idx="2">
                  <c:v>206</c:v>
                </c:pt>
                <c:pt idx="3">
                  <c:v>189</c:v>
                </c:pt>
                <c:pt idx="4">
                  <c:v>343</c:v>
                </c:pt>
                <c:pt idx="5">
                  <c:v>465</c:v>
                </c:pt>
              </c:numCache>
            </c:numRef>
          </c:val>
          <c:extLst>
            <c:ext xmlns:c16="http://schemas.microsoft.com/office/drawing/2014/chart" uri="{C3380CC4-5D6E-409C-BE32-E72D297353CC}">
              <c16:uniqueId val="{00000002-EC20-41F3-85CA-9FA4F8B91848}"/>
            </c:ext>
          </c:extLst>
        </c:ser>
        <c:ser>
          <c:idx val="3"/>
          <c:order val="3"/>
          <c:tx>
            <c:v>Nije primjenjivo</c:v>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95000"/>
                          <a:alpha val="54000"/>
                        </a:schemeClr>
                      </a:solidFill>
                      <a:prstDash val="solid"/>
                      <a:round/>
                    </a:ln>
                    <a:effectLst/>
                  </c:spPr>
                </c15:leaderLines>
              </c:ext>
            </c:extLst>
          </c:dLbls>
          <c:cat>
            <c:strRef>
              <c:f>'Proaktivna Nova'!$A$24:$A$29</c:f>
              <c:strCache>
                <c:ptCount val="6"/>
                <c:pt idx="0">
                  <c:v>objava dozvole za skupove podataka sukladno Pravilniku o dozvolama</c:v>
                </c:pt>
                <c:pt idx="1">
                  <c:v>omogućavanje preuzimanja podataka u cijelosti</c:v>
                </c:pt>
                <c:pt idx="2">
                  <c:v>objava skupova podataka na Portalu otvorenih podataka</c:v>
                </c:pt>
                <c:pt idx="3">
                  <c:v>objava skupova podataka iz prethodnog pitanja u strojno čitljivom formatu</c:v>
                </c:pt>
                <c:pt idx="4">
                  <c:v>objava skupova podataka koji ne sadrže ograničenja, na internetskim stranicama tijela</c:v>
                </c:pt>
                <c:pt idx="5">
                  <c:v>objava popisa sukpova podataka koje tijelo vodi, s metapodacima</c:v>
                </c:pt>
              </c:strCache>
            </c:strRef>
          </c:cat>
          <c:val>
            <c:numRef>
              <c:f>'Proaktivna Nova'!$E$24:$E$29</c:f>
              <c:numCache>
                <c:formatCode>General</c:formatCode>
                <c:ptCount val="6"/>
                <c:pt idx="0">
                  <c:v>2116</c:v>
                </c:pt>
                <c:pt idx="1">
                  <c:v>2113</c:v>
                </c:pt>
                <c:pt idx="2">
                  <c:v>2037</c:v>
                </c:pt>
                <c:pt idx="3">
                  <c:v>2105</c:v>
                </c:pt>
                <c:pt idx="4">
                  <c:v>1827</c:v>
                </c:pt>
                <c:pt idx="5">
                  <c:v>1755</c:v>
                </c:pt>
              </c:numCache>
            </c:numRef>
          </c:val>
          <c:extLst>
            <c:ext xmlns:c16="http://schemas.microsoft.com/office/drawing/2014/chart" uri="{C3380CC4-5D6E-409C-BE32-E72D297353CC}">
              <c16:uniqueId val="{00000003-EC20-41F3-85CA-9FA4F8B91848}"/>
            </c:ext>
          </c:extLst>
        </c:ser>
        <c:dLbls>
          <c:showLegendKey val="0"/>
          <c:showVal val="0"/>
          <c:showCatName val="0"/>
          <c:showSerName val="0"/>
          <c:showPercent val="0"/>
          <c:showBubbleSize val="0"/>
        </c:dLbls>
        <c:gapWidth val="150"/>
        <c:shape val="cylinder"/>
        <c:axId val="290740736"/>
        <c:axId val="312250880"/>
        <c:axId val="0"/>
      </c:bar3DChart>
      <c:catAx>
        <c:axId val="290740736"/>
        <c:scaling>
          <c:orientation val="minMax"/>
        </c:scaling>
        <c:delete val="0"/>
        <c:axPos val="l"/>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900" b="0" i="0" u="none" strike="noStrike" kern="1200" baseline="0">
                <a:solidFill>
                  <a:schemeClr val="tx1"/>
                </a:solidFill>
                <a:latin typeface="Gill Sans MT" pitchFamily="34" charset="-18"/>
                <a:ea typeface="+mn-ea"/>
                <a:cs typeface="+mn-cs"/>
              </a:defRPr>
            </a:pPr>
            <a:endParaRPr lang="sr-Latn-RS"/>
          </a:p>
        </c:txPr>
        <c:crossAx val="312250880"/>
        <c:crosses val="autoZero"/>
        <c:auto val="1"/>
        <c:lblAlgn val="ctr"/>
        <c:lblOffset val="100"/>
        <c:noMultiLvlLbl val="0"/>
      </c:catAx>
      <c:valAx>
        <c:axId val="312250880"/>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crossAx val="29074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Gill Sans MT" pitchFamily="34" charset="-18"/>
              <a:ea typeface="+mn-ea"/>
              <a:cs typeface="+mn-cs"/>
            </a:defRPr>
          </a:pPr>
          <a:endParaRPr lang="sr-Latn-RS"/>
        </a:p>
      </c:txPr>
    </c:legend>
    <c:plotVisOnly val="1"/>
    <c:dispBlanksAs val="gap"/>
    <c:showDLblsOverMax val="0"/>
  </c:chart>
  <c:spPr>
    <a:solidFill>
      <a:schemeClr val="bg1"/>
    </a:solidFill>
    <a:ln w="6350" cap="flat" cmpd="sng" algn="ctr">
      <a:noFill/>
      <a:prstDash val="solid"/>
      <a:round/>
    </a:ln>
    <a:effectLst/>
  </c:spPr>
  <c:txPr>
    <a:bodyPr/>
    <a:lstStyle/>
    <a:p>
      <a:pPr>
        <a:defRPr sz="900" b="1">
          <a:latin typeface="Gill Sans MT" pitchFamily="34" charset="-18"/>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0.8059</cdr:x>
      <cdr:y>0.06932</cdr:y>
    </cdr:from>
    <cdr:to>
      <cdr:x>0.85627</cdr:x>
      <cdr:y>0.10919</cdr:y>
    </cdr:to>
    <cdr:sp macro="" textlink="">
      <cdr:nvSpPr>
        <cdr:cNvPr id="2" name="TextBox 1"/>
        <cdr:cNvSpPr txBox="1"/>
      </cdr:nvSpPr>
      <cdr:spPr>
        <a:xfrm xmlns:a="http://schemas.openxmlformats.org/drawingml/2006/main">
          <a:off x="6248400" y="381000"/>
          <a:ext cx="3905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0.8059</cdr:x>
      <cdr:y>0.06932</cdr:y>
    </cdr:from>
    <cdr:to>
      <cdr:x>0.85627</cdr:x>
      <cdr:y>0.10919</cdr:y>
    </cdr:to>
    <cdr:sp macro="" textlink="">
      <cdr:nvSpPr>
        <cdr:cNvPr id="5" name="TextBox 1"/>
        <cdr:cNvSpPr txBox="1"/>
      </cdr:nvSpPr>
      <cdr:spPr>
        <a:xfrm xmlns:a="http://schemas.openxmlformats.org/drawingml/2006/main">
          <a:off x="6248400" y="381000"/>
          <a:ext cx="3905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0.8059</cdr:x>
      <cdr:y>0.06932</cdr:y>
    </cdr:from>
    <cdr:to>
      <cdr:x>0.85627</cdr:x>
      <cdr:y>0.10919</cdr:y>
    </cdr:to>
    <cdr:sp macro="" textlink="">
      <cdr:nvSpPr>
        <cdr:cNvPr id="6" name="TextBox 1"/>
        <cdr:cNvSpPr txBox="1"/>
      </cdr:nvSpPr>
      <cdr:spPr>
        <a:xfrm xmlns:a="http://schemas.openxmlformats.org/drawingml/2006/main">
          <a:off x="6248400" y="381000"/>
          <a:ext cx="3905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hr-HR" sz="1100"/>
        </a:p>
      </cdr:txBody>
    </cdr:sp>
  </cdr:relSizeAnchor>
</c:userShape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4472C4"/>
      </a:accent1>
      <a:accent2>
        <a:srgbClr val="C70001"/>
      </a:accent2>
      <a:accent3>
        <a:srgbClr val="53813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06B3-3F97-4121-A1F7-6C71C46A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1</Pages>
  <Words>47160</Words>
  <Characters>268817</Characters>
  <Application>Microsoft Office Word</Application>
  <DocSecurity>0</DocSecurity>
  <Lines>2240</Lines>
  <Paragraphs>630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315347</CharactersWithSpaces>
  <SharedDoc>false</SharedDoc>
  <HLinks>
    <vt:vector size="582" baseType="variant">
      <vt:variant>
        <vt:i4>2687004</vt:i4>
      </vt:variant>
      <vt:variant>
        <vt:i4>468</vt:i4>
      </vt:variant>
      <vt:variant>
        <vt:i4>0</vt:i4>
      </vt:variant>
      <vt:variant>
        <vt:i4>5</vt:i4>
      </vt:variant>
      <vt:variant>
        <vt:lpwstr>http://www.iusinfo.hr/LegisRegistry/Content.aspx?SOPI=USRH2012B2753AI&amp;Doc=USTSUD_HR</vt:lpwstr>
      </vt:variant>
      <vt:variant>
        <vt:lpwstr/>
      </vt:variant>
      <vt:variant>
        <vt:i4>7340151</vt:i4>
      </vt:variant>
      <vt:variant>
        <vt:i4>465</vt:i4>
      </vt:variant>
      <vt:variant>
        <vt:i4>0</vt:i4>
      </vt:variant>
      <vt:variant>
        <vt:i4>5</vt:i4>
      </vt:variant>
      <vt:variant>
        <vt:lpwstr>http://www.pristupinfo.hr/</vt:lpwstr>
      </vt:variant>
      <vt:variant>
        <vt:lpwstr/>
      </vt:variant>
      <vt:variant>
        <vt:i4>4128806</vt:i4>
      </vt:variant>
      <vt:variant>
        <vt:i4>462</vt:i4>
      </vt:variant>
      <vt:variant>
        <vt:i4>0</vt:i4>
      </vt:variant>
      <vt:variant>
        <vt:i4>5</vt:i4>
      </vt:variant>
      <vt:variant>
        <vt:lpwstr>http://data.rijeka.hr/</vt:lpwstr>
      </vt:variant>
      <vt:variant>
        <vt:lpwstr/>
      </vt:variant>
      <vt:variant>
        <vt:i4>2293805</vt:i4>
      </vt:variant>
      <vt:variant>
        <vt:i4>459</vt:i4>
      </vt:variant>
      <vt:variant>
        <vt:i4>0</vt:i4>
      </vt:variant>
      <vt:variant>
        <vt:i4>5</vt:i4>
      </vt:variant>
      <vt:variant>
        <vt:lpwstr>http://data.zagreb.hr/</vt:lpwstr>
      </vt:variant>
      <vt:variant>
        <vt:lpwstr/>
      </vt:variant>
      <vt:variant>
        <vt:i4>4653133</vt:i4>
      </vt:variant>
      <vt:variant>
        <vt:i4>456</vt:i4>
      </vt:variant>
      <vt:variant>
        <vt:i4>0</vt:i4>
      </vt:variant>
      <vt:variant>
        <vt:i4>5</vt:i4>
      </vt:variant>
      <vt:variant>
        <vt:lpwstr>https://data.gov.hr/</vt:lpwstr>
      </vt:variant>
      <vt:variant>
        <vt:lpwstr/>
      </vt:variant>
      <vt:variant>
        <vt:i4>7995440</vt:i4>
      </vt:variant>
      <vt:variant>
        <vt:i4>453</vt:i4>
      </vt:variant>
      <vt:variant>
        <vt:i4>0</vt:i4>
      </vt:variant>
      <vt:variant>
        <vt:i4>5</vt:i4>
      </vt:variant>
      <vt:variant>
        <vt:lpwstr>https://www.europeandataportal.eu/en/dashboard</vt:lpwstr>
      </vt:variant>
      <vt:variant>
        <vt:lpwstr/>
      </vt:variant>
      <vt:variant>
        <vt:i4>3276849</vt:i4>
      </vt:variant>
      <vt:variant>
        <vt:i4>450</vt:i4>
      </vt:variant>
      <vt:variant>
        <vt:i4>0</vt:i4>
      </vt:variant>
      <vt:variant>
        <vt:i4>5</vt:i4>
      </vt:variant>
      <vt:variant>
        <vt:lpwstr>http://imamopravoznati.org/</vt:lpwstr>
      </vt:variant>
      <vt:variant>
        <vt:lpwstr/>
      </vt:variant>
      <vt:variant>
        <vt:i4>4653147</vt:i4>
      </vt:variant>
      <vt:variant>
        <vt:i4>447</vt:i4>
      </vt:variant>
      <vt:variant>
        <vt:i4>0</vt:i4>
      </vt:variant>
      <vt:variant>
        <vt:i4>5</vt:i4>
      </vt:variant>
      <vt:variant>
        <vt:lpwstr>http://tom.pristupinfo.hr/pregledfilter1.php</vt:lpwstr>
      </vt:variant>
      <vt:variant>
        <vt:lpwstr/>
      </vt:variant>
      <vt:variant>
        <vt:i4>7340151</vt:i4>
      </vt:variant>
      <vt:variant>
        <vt:i4>444</vt:i4>
      </vt:variant>
      <vt:variant>
        <vt:i4>0</vt:i4>
      </vt:variant>
      <vt:variant>
        <vt:i4>5</vt:i4>
      </vt:variant>
      <vt:variant>
        <vt:lpwstr>http://www.pristupinfo.hr/</vt:lpwstr>
      </vt:variant>
      <vt:variant>
        <vt:lpwstr/>
      </vt:variant>
      <vt:variant>
        <vt:i4>7340151</vt:i4>
      </vt:variant>
      <vt:variant>
        <vt:i4>441</vt:i4>
      </vt:variant>
      <vt:variant>
        <vt:i4>0</vt:i4>
      </vt:variant>
      <vt:variant>
        <vt:i4>5</vt:i4>
      </vt:variant>
      <vt:variant>
        <vt:lpwstr>http://www.pristupinfo.hr/</vt:lpwstr>
      </vt:variant>
      <vt:variant>
        <vt:lpwstr/>
      </vt:variant>
      <vt:variant>
        <vt:i4>7340151</vt:i4>
      </vt:variant>
      <vt:variant>
        <vt:i4>438</vt:i4>
      </vt:variant>
      <vt:variant>
        <vt:i4>0</vt:i4>
      </vt:variant>
      <vt:variant>
        <vt:i4>5</vt:i4>
      </vt:variant>
      <vt:variant>
        <vt:lpwstr>http://www.pristupinfo.hr/</vt:lpwstr>
      </vt:variant>
      <vt:variant>
        <vt:lpwstr/>
      </vt:variant>
      <vt:variant>
        <vt:i4>4194311</vt:i4>
      </vt:variant>
      <vt:variant>
        <vt:i4>435</vt:i4>
      </vt:variant>
      <vt:variant>
        <vt:i4>0</vt:i4>
      </vt:variant>
      <vt:variant>
        <vt:i4>5</vt:i4>
      </vt:variant>
      <vt:variant>
        <vt:lpwstr>http://www.pristupinfo.hr/promo/</vt:lpwstr>
      </vt:variant>
      <vt:variant>
        <vt:lpwstr/>
      </vt:variant>
      <vt:variant>
        <vt:i4>6553639</vt:i4>
      </vt:variant>
      <vt:variant>
        <vt:i4>432</vt:i4>
      </vt:variant>
      <vt:variant>
        <vt:i4>0</vt:i4>
      </vt:variant>
      <vt:variant>
        <vt:i4>5</vt:i4>
      </vt:variant>
      <vt:variant>
        <vt:lpwstr>https://sudreg.pravosudje.hr/registar/</vt:lpwstr>
      </vt:variant>
      <vt:variant>
        <vt:lpwstr/>
      </vt:variant>
      <vt:variant>
        <vt:i4>2621451</vt:i4>
      </vt:variant>
      <vt:variant>
        <vt:i4>429</vt:i4>
      </vt:variant>
      <vt:variant>
        <vt:i4>0</vt:i4>
      </vt:variant>
      <vt:variant>
        <vt:i4>5</vt:i4>
      </vt:variant>
      <vt:variant>
        <vt:lpwstr>http://arhinet.arhiv.hr/_Pages/DigitalniArhiv.aspx</vt:lpwstr>
      </vt:variant>
      <vt:variant>
        <vt:lpwstr/>
      </vt:variant>
      <vt:variant>
        <vt:i4>1638486</vt:i4>
      </vt:variant>
      <vt:variant>
        <vt:i4>426</vt:i4>
      </vt:variant>
      <vt:variant>
        <vt:i4>0</vt:i4>
      </vt:variant>
      <vt:variant>
        <vt:i4>5</vt:i4>
      </vt:variant>
      <vt:variant>
        <vt:lpwstr>http://www.europeana.eu/portal/hr</vt:lpwstr>
      </vt:variant>
      <vt:variant>
        <vt:lpwstr/>
      </vt:variant>
      <vt:variant>
        <vt:i4>4391005</vt:i4>
      </vt:variant>
      <vt:variant>
        <vt:i4>423</vt:i4>
      </vt:variant>
      <vt:variant>
        <vt:i4>0</vt:i4>
      </vt:variant>
      <vt:variant>
        <vt:i4>5</vt:i4>
      </vt:variant>
      <vt:variant>
        <vt:lpwstr>http://www.min-kulture.hr/userdocsimages/Programi 2017/Odobreni programi digitalizacija 2017.pdf</vt:lpwstr>
      </vt:variant>
      <vt:variant>
        <vt:lpwstr/>
      </vt:variant>
      <vt:variant>
        <vt:i4>5046278</vt:i4>
      </vt:variant>
      <vt:variant>
        <vt:i4>420</vt:i4>
      </vt:variant>
      <vt:variant>
        <vt:i4>0</vt:i4>
      </vt:variant>
      <vt:variant>
        <vt:i4>5</vt:i4>
      </vt:variant>
      <vt:variant>
        <vt:lpwstr>http://www.min-kulture.hr/userdocsimages/Odobreni programi 2016/Odobreni programi digitalizacija - stanje 31.12.2016..pdf</vt:lpwstr>
      </vt:variant>
      <vt:variant>
        <vt:lpwstr/>
      </vt:variant>
      <vt:variant>
        <vt:i4>1638486</vt:i4>
      </vt:variant>
      <vt:variant>
        <vt:i4>417</vt:i4>
      </vt:variant>
      <vt:variant>
        <vt:i4>0</vt:i4>
      </vt:variant>
      <vt:variant>
        <vt:i4>5</vt:i4>
      </vt:variant>
      <vt:variant>
        <vt:lpwstr>http://www.europeana.eu/portal/hr</vt:lpwstr>
      </vt:variant>
      <vt:variant>
        <vt:lpwstr/>
      </vt:variant>
      <vt:variant>
        <vt:i4>3866634</vt:i4>
      </vt:variant>
      <vt:variant>
        <vt:i4>414</vt:i4>
      </vt:variant>
      <vt:variant>
        <vt:i4>0</vt:i4>
      </vt:variant>
      <vt:variant>
        <vt:i4>5</vt:i4>
      </vt:variant>
      <vt:variant>
        <vt:lpwstr>http://hrvzz.hr/otvoreni_proracun/</vt:lpwstr>
      </vt:variant>
      <vt:variant>
        <vt:lpwstr/>
      </vt:variant>
      <vt:variant>
        <vt:i4>4128806</vt:i4>
      </vt:variant>
      <vt:variant>
        <vt:i4>411</vt:i4>
      </vt:variant>
      <vt:variant>
        <vt:i4>0</vt:i4>
      </vt:variant>
      <vt:variant>
        <vt:i4>5</vt:i4>
      </vt:variant>
      <vt:variant>
        <vt:lpwstr>http://data.rijeka.hr/</vt:lpwstr>
      </vt:variant>
      <vt:variant>
        <vt:lpwstr/>
      </vt:variant>
      <vt:variant>
        <vt:i4>2293805</vt:i4>
      </vt:variant>
      <vt:variant>
        <vt:i4>408</vt:i4>
      </vt:variant>
      <vt:variant>
        <vt:i4>0</vt:i4>
      </vt:variant>
      <vt:variant>
        <vt:i4>5</vt:i4>
      </vt:variant>
      <vt:variant>
        <vt:lpwstr>http://data.zagreb.hr/</vt:lpwstr>
      </vt:variant>
      <vt:variant>
        <vt:lpwstr/>
      </vt:variant>
      <vt:variant>
        <vt:i4>4653133</vt:i4>
      </vt:variant>
      <vt:variant>
        <vt:i4>405</vt:i4>
      </vt:variant>
      <vt:variant>
        <vt:i4>0</vt:i4>
      </vt:variant>
      <vt:variant>
        <vt:i4>5</vt:i4>
      </vt:variant>
      <vt:variant>
        <vt:lpwstr>https://data.gov.hr/</vt:lpwstr>
      </vt:variant>
      <vt:variant>
        <vt:lpwstr/>
      </vt:variant>
      <vt:variant>
        <vt:i4>7995440</vt:i4>
      </vt:variant>
      <vt:variant>
        <vt:i4>402</vt:i4>
      </vt:variant>
      <vt:variant>
        <vt:i4>0</vt:i4>
      </vt:variant>
      <vt:variant>
        <vt:i4>5</vt:i4>
      </vt:variant>
      <vt:variant>
        <vt:lpwstr>https://www.europeandataportal.eu/en/dashboard</vt:lpwstr>
      </vt:variant>
      <vt:variant>
        <vt:lpwstr/>
      </vt:variant>
      <vt:variant>
        <vt:i4>6553710</vt:i4>
      </vt:variant>
      <vt:variant>
        <vt:i4>399</vt:i4>
      </vt:variant>
      <vt:variant>
        <vt:i4>0</vt:i4>
      </vt:variant>
      <vt:variant>
        <vt:i4>5</vt:i4>
      </vt:variant>
      <vt:variant>
        <vt:lpwstr>https://www.europeandataportal.eu/</vt:lpwstr>
      </vt:variant>
      <vt:variant>
        <vt:lpwstr/>
      </vt:variant>
      <vt:variant>
        <vt:i4>4653133</vt:i4>
      </vt:variant>
      <vt:variant>
        <vt:i4>396</vt:i4>
      </vt:variant>
      <vt:variant>
        <vt:i4>0</vt:i4>
      </vt:variant>
      <vt:variant>
        <vt:i4>5</vt:i4>
      </vt:variant>
      <vt:variant>
        <vt:lpwstr>https://data.gov.hr/</vt:lpwstr>
      </vt:variant>
      <vt:variant>
        <vt:lpwstr/>
      </vt:variant>
      <vt:variant>
        <vt:i4>7929911</vt:i4>
      </vt:variant>
      <vt:variant>
        <vt:i4>393</vt:i4>
      </vt:variant>
      <vt:variant>
        <vt:i4>0</vt:i4>
      </vt:variant>
      <vt:variant>
        <vt:i4>5</vt:i4>
      </vt:variant>
      <vt:variant>
        <vt:lpwstr>http://www.vojko-obersnel.com/hr/proracunaj-me/2017</vt:lpwstr>
      </vt:variant>
      <vt:variant>
        <vt:lpwstr/>
      </vt:variant>
      <vt:variant>
        <vt:i4>524378</vt:i4>
      </vt:variant>
      <vt:variant>
        <vt:i4>390</vt:i4>
      </vt:variant>
      <vt:variant>
        <vt:i4>0</vt:i4>
      </vt:variant>
      <vt:variant>
        <vt:i4>5</vt:i4>
      </vt:variant>
      <vt:variant>
        <vt:lpwstr>https://esavjetovanja.gov.hr/</vt:lpwstr>
      </vt:variant>
      <vt:variant>
        <vt:lpwstr/>
      </vt:variant>
      <vt:variant>
        <vt:i4>3211367</vt:i4>
      </vt:variant>
      <vt:variant>
        <vt:i4>387</vt:i4>
      </vt:variant>
      <vt:variant>
        <vt:i4>0</vt:i4>
      </vt:variant>
      <vt:variant>
        <vt:i4>5</vt:i4>
      </vt:variant>
      <vt:variant>
        <vt:lpwstr>http://aarhus.zelena-istra.hr/node/193</vt:lpwstr>
      </vt:variant>
      <vt:variant>
        <vt:lpwstr/>
      </vt:variant>
      <vt:variant>
        <vt:i4>524290</vt:i4>
      </vt:variant>
      <vt:variant>
        <vt:i4>384</vt:i4>
      </vt:variant>
      <vt:variant>
        <vt:i4>0</vt:i4>
      </vt:variant>
      <vt:variant>
        <vt:i4>5</vt:i4>
      </vt:variant>
      <vt:variant>
        <vt:lpwstr>http://www.mzoip.hr/doc/iv_nacionalno_izvjesce_o_provedbi_aarhuske_konvencije.pdf</vt:lpwstr>
      </vt:variant>
      <vt:variant>
        <vt:lpwstr/>
      </vt:variant>
      <vt:variant>
        <vt:i4>4653147</vt:i4>
      </vt:variant>
      <vt:variant>
        <vt:i4>381</vt:i4>
      </vt:variant>
      <vt:variant>
        <vt:i4>0</vt:i4>
      </vt:variant>
      <vt:variant>
        <vt:i4>5</vt:i4>
      </vt:variant>
      <vt:variant>
        <vt:lpwstr>http://tom.pristupinfo.hr/pregledfilter1.php</vt:lpwstr>
      </vt:variant>
      <vt:variant>
        <vt:lpwstr/>
      </vt:variant>
      <vt:variant>
        <vt:i4>7340151</vt:i4>
      </vt:variant>
      <vt:variant>
        <vt:i4>378</vt:i4>
      </vt:variant>
      <vt:variant>
        <vt:i4>0</vt:i4>
      </vt:variant>
      <vt:variant>
        <vt:i4>5</vt:i4>
      </vt:variant>
      <vt:variant>
        <vt:lpwstr>http://www.pristupinfo.hr/</vt:lpwstr>
      </vt:variant>
      <vt:variant>
        <vt:lpwstr/>
      </vt:variant>
      <vt:variant>
        <vt:i4>1769472</vt:i4>
      </vt:variant>
      <vt:variant>
        <vt:i4>375</vt:i4>
      </vt:variant>
      <vt:variant>
        <vt:i4>0</vt:i4>
      </vt:variant>
      <vt:variant>
        <vt:i4>5</vt:i4>
      </vt:variant>
      <vt:variant>
        <vt:lpwstr>http://eur-lex.europa.eu/legal-content/HR/TXT/HTML/?uri=CELEX:32016L2102&amp;from=EN</vt:lpwstr>
      </vt:variant>
      <vt:variant>
        <vt:lpwstr/>
      </vt:variant>
      <vt:variant>
        <vt:i4>7340151</vt:i4>
      </vt:variant>
      <vt:variant>
        <vt:i4>372</vt:i4>
      </vt:variant>
      <vt:variant>
        <vt:i4>0</vt:i4>
      </vt:variant>
      <vt:variant>
        <vt:i4>5</vt:i4>
      </vt:variant>
      <vt:variant>
        <vt:lpwstr>http://www.pristupinfo.hr/</vt:lpwstr>
      </vt:variant>
      <vt:variant>
        <vt:lpwstr/>
      </vt:variant>
      <vt:variant>
        <vt:i4>7929973</vt:i4>
      </vt:variant>
      <vt:variant>
        <vt:i4>369</vt:i4>
      </vt:variant>
      <vt:variant>
        <vt:i4>0</vt:i4>
      </vt:variant>
      <vt:variant>
        <vt:i4>5</vt:i4>
      </vt:variant>
      <vt:variant>
        <vt:lpwstr>http://www.digured.hr/</vt:lpwstr>
      </vt:variant>
      <vt:variant>
        <vt:lpwstr/>
      </vt:variant>
      <vt:variant>
        <vt:i4>4259951</vt:i4>
      </vt:variant>
      <vt:variant>
        <vt:i4>366</vt:i4>
      </vt:variant>
      <vt:variant>
        <vt:i4>0</vt:i4>
      </vt:variant>
      <vt:variant>
        <vt:i4>5</vt:i4>
      </vt:variant>
      <vt:variant>
        <vt:lpwstr>http://www.ijf.hr/transparentnost/?params_1=transparentnost</vt:lpwstr>
      </vt:variant>
      <vt:variant>
        <vt:lpwstr/>
      </vt:variant>
      <vt:variant>
        <vt:i4>7733306</vt:i4>
      </vt:variant>
      <vt:variant>
        <vt:i4>363</vt:i4>
      </vt:variant>
      <vt:variant>
        <vt:i4>0</vt:i4>
      </vt:variant>
      <vt:variant>
        <vt:i4>5</vt:i4>
      </vt:variant>
      <vt:variant>
        <vt:lpwstr>https://udruge.gov.hr/UserDocsImages/dokumenti/Akcijski plan-POV-8-7-2014-final.pdf</vt:lpwstr>
      </vt:variant>
      <vt:variant>
        <vt:lpwstr/>
      </vt:variant>
      <vt:variant>
        <vt:i4>7471155</vt:i4>
      </vt:variant>
      <vt:variant>
        <vt:i4>360</vt:i4>
      </vt:variant>
      <vt:variant>
        <vt:i4>0</vt:i4>
      </vt:variant>
      <vt:variant>
        <vt:i4>5</vt:i4>
      </vt:variant>
      <vt:variant>
        <vt:lpwstr>http://www.tjv.pristupinfo.hr/</vt:lpwstr>
      </vt:variant>
      <vt:variant>
        <vt:lpwstr/>
      </vt:variant>
      <vt:variant>
        <vt:i4>3866751</vt:i4>
      </vt:variant>
      <vt:variant>
        <vt:i4>357</vt:i4>
      </vt:variant>
      <vt:variant>
        <vt:i4>0</vt:i4>
      </vt:variant>
      <vt:variant>
        <vt:i4>5</vt:i4>
      </vt:variant>
      <vt:variant>
        <vt:lpwstr>http://izvjesca.pristupinfo.hr/</vt:lpwstr>
      </vt:variant>
      <vt:variant>
        <vt:lpwstr/>
      </vt:variant>
      <vt:variant>
        <vt:i4>7340151</vt:i4>
      </vt:variant>
      <vt:variant>
        <vt:i4>354</vt:i4>
      </vt:variant>
      <vt:variant>
        <vt:i4>0</vt:i4>
      </vt:variant>
      <vt:variant>
        <vt:i4>5</vt:i4>
      </vt:variant>
      <vt:variant>
        <vt:lpwstr>http://www.pristupinfo.hr/</vt:lpwstr>
      </vt:variant>
      <vt:variant>
        <vt:lpwstr/>
      </vt:variant>
      <vt:variant>
        <vt:i4>1376315</vt:i4>
      </vt:variant>
      <vt:variant>
        <vt:i4>344</vt:i4>
      </vt:variant>
      <vt:variant>
        <vt:i4>0</vt:i4>
      </vt:variant>
      <vt:variant>
        <vt:i4>5</vt:i4>
      </vt:variant>
      <vt:variant>
        <vt:lpwstr/>
      </vt:variant>
      <vt:variant>
        <vt:lpwstr>_Toc480268907</vt:lpwstr>
      </vt:variant>
      <vt:variant>
        <vt:i4>1376315</vt:i4>
      </vt:variant>
      <vt:variant>
        <vt:i4>338</vt:i4>
      </vt:variant>
      <vt:variant>
        <vt:i4>0</vt:i4>
      </vt:variant>
      <vt:variant>
        <vt:i4>5</vt:i4>
      </vt:variant>
      <vt:variant>
        <vt:lpwstr/>
      </vt:variant>
      <vt:variant>
        <vt:lpwstr>_Toc480268906</vt:lpwstr>
      </vt:variant>
      <vt:variant>
        <vt:i4>1376315</vt:i4>
      </vt:variant>
      <vt:variant>
        <vt:i4>332</vt:i4>
      </vt:variant>
      <vt:variant>
        <vt:i4>0</vt:i4>
      </vt:variant>
      <vt:variant>
        <vt:i4>5</vt:i4>
      </vt:variant>
      <vt:variant>
        <vt:lpwstr/>
      </vt:variant>
      <vt:variant>
        <vt:lpwstr>_Toc480268905</vt:lpwstr>
      </vt:variant>
      <vt:variant>
        <vt:i4>1376315</vt:i4>
      </vt:variant>
      <vt:variant>
        <vt:i4>326</vt:i4>
      </vt:variant>
      <vt:variant>
        <vt:i4>0</vt:i4>
      </vt:variant>
      <vt:variant>
        <vt:i4>5</vt:i4>
      </vt:variant>
      <vt:variant>
        <vt:lpwstr/>
      </vt:variant>
      <vt:variant>
        <vt:lpwstr>_Toc480268904</vt:lpwstr>
      </vt:variant>
      <vt:variant>
        <vt:i4>1376315</vt:i4>
      </vt:variant>
      <vt:variant>
        <vt:i4>320</vt:i4>
      </vt:variant>
      <vt:variant>
        <vt:i4>0</vt:i4>
      </vt:variant>
      <vt:variant>
        <vt:i4>5</vt:i4>
      </vt:variant>
      <vt:variant>
        <vt:lpwstr/>
      </vt:variant>
      <vt:variant>
        <vt:lpwstr>_Toc480268903</vt:lpwstr>
      </vt:variant>
      <vt:variant>
        <vt:i4>1376315</vt:i4>
      </vt:variant>
      <vt:variant>
        <vt:i4>314</vt:i4>
      </vt:variant>
      <vt:variant>
        <vt:i4>0</vt:i4>
      </vt:variant>
      <vt:variant>
        <vt:i4>5</vt:i4>
      </vt:variant>
      <vt:variant>
        <vt:lpwstr/>
      </vt:variant>
      <vt:variant>
        <vt:lpwstr>_Toc480268902</vt:lpwstr>
      </vt:variant>
      <vt:variant>
        <vt:i4>1376315</vt:i4>
      </vt:variant>
      <vt:variant>
        <vt:i4>308</vt:i4>
      </vt:variant>
      <vt:variant>
        <vt:i4>0</vt:i4>
      </vt:variant>
      <vt:variant>
        <vt:i4>5</vt:i4>
      </vt:variant>
      <vt:variant>
        <vt:lpwstr/>
      </vt:variant>
      <vt:variant>
        <vt:lpwstr>_Toc480268901</vt:lpwstr>
      </vt:variant>
      <vt:variant>
        <vt:i4>1376315</vt:i4>
      </vt:variant>
      <vt:variant>
        <vt:i4>302</vt:i4>
      </vt:variant>
      <vt:variant>
        <vt:i4>0</vt:i4>
      </vt:variant>
      <vt:variant>
        <vt:i4>5</vt:i4>
      </vt:variant>
      <vt:variant>
        <vt:lpwstr/>
      </vt:variant>
      <vt:variant>
        <vt:lpwstr>_Toc480268900</vt:lpwstr>
      </vt:variant>
      <vt:variant>
        <vt:i4>1835066</vt:i4>
      </vt:variant>
      <vt:variant>
        <vt:i4>296</vt:i4>
      </vt:variant>
      <vt:variant>
        <vt:i4>0</vt:i4>
      </vt:variant>
      <vt:variant>
        <vt:i4>5</vt:i4>
      </vt:variant>
      <vt:variant>
        <vt:lpwstr/>
      </vt:variant>
      <vt:variant>
        <vt:lpwstr>_Toc480268899</vt:lpwstr>
      </vt:variant>
      <vt:variant>
        <vt:i4>1835066</vt:i4>
      </vt:variant>
      <vt:variant>
        <vt:i4>290</vt:i4>
      </vt:variant>
      <vt:variant>
        <vt:i4>0</vt:i4>
      </vt:variant>
      <vt:variant>
        <vt:i4>5</vt:i4>
      </vt:variant>
      <vt:variant>
        <vt:lpwstr/>
      </vt:variant>
      <vt:variant>
        <vt:lpwstr>_Toc480268898</vt:lpwstr>
      </vt:variant>
      <vt:variant>
        <vt:i4>1835066</vt:i4>
      </vt:variant>
      <vt:variant>
        <vt:i4>284</vt:i4>
      </vt:variant>
      <vt:variant>
        <vt:i4>0</vt:i4>
      </vt:variant>
      <vt:variant>
        <vt:i4>5</vt:i4>
      </vt:variant>
      <vt:variant>
        <vt:lpwstr/>
      </vt:variant>
      <vt:variant>
        <vt:lpwstr>_Toc480268897</vt:lpwstr>
      </vt:variant>
      <vt:variant>
        <vt:i4>1835066</vt:i4>
      </vt:variant>
      <vt:variant>
        <vt:i4>278</vt:i4>
      </vt:variant>
      <vt:variant>
        <vt:i4>0</vt:i4>
      </vt:variant>
      <vt:variant>
        <vt:i4>5</vt:i4>
      </vt:variant>
      <vt:variant>
        <vt:lpwstr/>
      </vt:variant>
      <vt:variant>
        <vt:lpwstr>_Toc480268896</vt:lpwstr>
      </vt:variant>
      <vt:variant>
        <vt:i4>1835066</vt:i4>
      </vt:variant>
      <vt:variant>
        <vt:i4>272</vt:i4>
      </vt:variant>
      <vt:variant>
        <vt:i4>0</vt:i4>
      </vt:variant>
      <vt:variant>
        <vt:i4>5</vt:i4>
      </vt:variant>
      <vt:variant>
        <vt:lpwstr/>
      </vt:variant>
      <vt:variant>
        <vt:lpwstr>_Toc480268895</vt:lpwstr>
      </vt:variant>
      <vt:variant>
        <vt:i4>1835066</vt:i4>
      </vt:variant>
      <vt:variant>
        <vt:i4>266</vt:i4>
      </vt:variant>
      <vt:variant>
        <vt:i4>0</vt:i4>
      </vt:variant>
      <vt:variant>
        <vt:i4>5</vt:i4>
      </vt:variant>
      <vt:variant>
        <vt:lpwstr/>
      </vt:variant>
      <vt:variant>
        <vt:lpwstr>_Toc480268894</vt:lpwstr>
      </vt:variant>
      <vt:variant>
        <vt:i4>1835066</vt:i4>
      </vt:variant>
      <vt:variant>
        <vt:i4>260</vt:i4>
      </vt:variant>
      <vt:variant>
        <vt:i4>0</vt:i4>
      </vt:variant>
      <vt:variant>
        <vt:i4>5</vt:i4>
      </vt:variant>
      <vt:variant>
        <vt:lpwstr/>
      </vt:variant>
      <vt:variant>
        <vt:lpwstr>_Toc480268893</vt:lpwstr>
      </vt:variant>
      <vt:variant>
        <vt:i4>1835066</vt:i4>
      </vt:variant>
      <vt:variant>
        <vt:i4>254</vt:i4>
      </vt:variant>
      <vt:variant>
        <vt:i4>0</vt:i4>
      </vt:variant>
      <vt:variant>
        <vt:i4>5</vt:i4>
      </vt:variant>
      <vt:variant>
        <vt:lpwstr/>
      </vt:variant>
      <vt:variant>
        <vt:lpwstr>_Toc480268892</vt:lpwstr>
      </vt:variant>
      <vt:variant>
        <vt:i4>1835066</vt:i4>
      </vt:variant>
      <vt:variant>
        <vt:i4>248</vt:i4>
      </vt:variant>
      <vt:variant>
        <vt:i4>0</vt:i4>
      </vt:variant>
      <vt:variant>
        <vt:i4>5</vt:i4>
      </vt:variant>
      <vt:variant>
        <vt:lpwstr/>
      </vt:variant>
      <vt:variant>
        <vt:lpwstr>_Toc480268891</vt:lpwstr>
      </vt:variant>
      <vt:variant>
        <vt:i4>1835066</vt:i4>
      </vt:variant>
      <vt:variant>
        <vt:i4>242</vt:i4>
      </vt:variant>
      <vt:variant>
        <vt:i4>0</vt:i4>
      </vt:variant>
      <vt:variant>
        <vt:i4>5</vt:i4>
      </vt:variant>
      <vt:variant>
        <vt:lpwstr/>
      </vt:variant>
      <vt:variant>
        <vt:lpwstr>_Toc480268890</vt:lpwstr>
      </vt:variant>
      <vt:variant>
        <vt:i4>1900602</vt:i4>
      </vt:variant>
      <vt:variant>
        <vt:i4>236</vt:i4>
      </vt:variant>
      <vt:variant>
        <vt:i4>0</vt:i4>
      </vt:variant>
      <vt:variant>
        <vt:i4>5</vt:i4>
      </vt:variant>
      <vt:variant>
        <vt:lpwstr/>
      </vt:variant>
      <vt:variant>
        <vt:lpwstr>_Toc480268889</vt:lpwstr>
      </vt:variant>
      <vt:variant>
        <vt:i4>1900602</vt:i4>
      </vt:variant>
      <vt:variant>
        <vt:i4>230</vt:i4>
      </vt:variant>
      <vt:variant>
        <vt:i4>0</vt:i4>
      </vt:variant>
      <vt:variant>
        <vt:i4>5</vt:i4>
      </vt:variant>
      <vt:variant>
        <vt:lpwstr/>
      </vt:variant>
      <vt:variant>
        <vt:lpwstr>_Toc480268888</vt:lpwstr>
      </vt:variant>
      <vt:variant>
        <vt:i4>1900602</vt:i4>
      </vt:variant>
      <vt:variant>
        <vt:i4>224</vt:i4>
      </vt:variant>
      <vt:variant>
        <vt:i4>0</vt:i4>
      </vt:variant>
      <vt:variant>
        <vt:i4>5</vt:i4>
      </vt:variant>
      <vt:variant>
        <vt:lpwstr/>
      </vt:variant>
      <vt:variant>
        <vt:lpwstr>_Toc480268887</vt:lpwstr>
      </vt:variant>
      <vt:variant>
        <vt:i4>1900602</vt:i4>
      </vt:variant>
      <vt:variant>
        <vt:i4>218</vt:i4>
      </vt:variant>
      <vt:variant>
        <vt:i4>0</vt:i4>
      </vt:variant>
      <vt:variant>
        <vt:i4>5</vt:i4>
      </vt:variant>
      <vt:variant>
        <vt:lpwstr/>
      </vt:variant>
      <vt:variant>
        <vt:lpwstr>_Toc480268886</vt:lpwstr>
      </vt:variant>
      <vt:variant>
        <vt:i4>1900602</vt:i4>
      </vt:variant>
      <vt:variant>
        <vt:i4>212</vt:i4>
      </vt:variant>
      <vt:variant>
        <vt:i4>0</vt:i4>
      </vt:variant>
      <vt:variant>
        <vt:i4>5</vt:i4>
      </vt:variant>
      <vt:variant>
        <vt:lpwstr/>
      </vt:variant>
      <vt:variant>
        <vt:lpwstr>_Toc480268885</vt:lpwstr>
      </vt:variant>
      <vt:variant>
        <vt:i4>1900602</vt:i4>
      </vt:variant>
      <vt:variant>
        <vt:i4>206</vt:i4>
      </vt:variant>
      <vt:variant>
        <vt:i4>0</vt:i4>
      </vt:variant>
      <vt:variant>
        <vt:i4>5</vt:i4>
      </vt:variant>
      <vt:variant>
        <vt:lpwstr/>
      </vt:variant>
      <vt:variant>
        <vt:lpwstr>_Toc480268884</vt:lpwstr>
      </vt:variant>
      <vt:variant>
        <vt:i4>1900602</vt:i4>
      </vt:variant>
      <vt:variant>
        <vt:i4>200</vt:i4>
      </vt:variant>
      <vt:variant>
        <vt:i4>0</vt:i4>
      </vt:variant>
      <vt:variant>
        <vt:i4>5</vt:i4>
      </vt:variant>
      <vt:variant>
        <vt:lpwstr/>
      </vt:variant>
      <vt:variant>
        <vt:lpwstr>_Toc480268883</vt:lpwstr>
      </vt:variant>
      <vt:variant>
        <vt:i4>1900602</vt:i4>
      </vt:variant>
      <vt:variant>
        <vt:i4>194</vt:i4>
      </vt:variant>
      <vt:variant>
        <vt:i4>0</vt:i4>
      </vt:variant>
      <vt:variant>
        <vt:i4>5</vt:i4>
      </vt:variant>
      <vt:variant>
        <vt:lpwstr/>
      </vt:variant>
      <vt:variant>
        <vt:lpwstr>_Toc480268882</vt:lpwstr>
      </vt:variant>
      <vt:variant>
        <vt:i4>1900602</vt:i4>
      </vt:variant>
      <vt:variant>
        <vt:i4>188</vt:i4>
      </vt:variant>
      <vt:variant>
        <vt:i4>0</vt:i4>
      </vt:variant>
      <vt:variant>
        <vt:i4>5</vt:i4>
      </vt:variant>
      <vt:variant>
        <vt:lpwstr/>
      </vt:variant>
      <vt:variant>
        <vt:lpwstr>_Toc480268881</vt:lpwstr>
      </vt:variant>
      <vt:variant>
        <vt:i4>1900602</vt:i4>
      </vt:variant>
      <vt:variant>
        <vt:i4>182</vt:i4>
      </vt:variant>
      <vt:variant>
        <vt:i4>0</vt:i4>
      </vt:variant>
      <vt:variant>
        <vt:i4>5</vt:i4>
      </vt:variant>
      <vt:variant>
        <vt:lpwstr/>
      </vt:variant>
      <vt:variant>
        <vt:lpwstr>_Toc480268880</vt:lpwstr>
      </vt:variant>
      <vt:variant>
        <vt:i4>1179706</vt:i4>
      </vt:variant>
      <vt:variant>
        <vt:i4>176</vt:i4>
      </vt:variant>
      <vt:variant>
        <vt:i4>0</vt:i4>
      </vt:variant>
      <vt:variant>
        <vt:i4>5</vt:i4>
      </vt:variant>
      <vt:variant>
        <vt:lpwstr/>
      </vt:variant>
      <vt:variant>
        <vt:lpwstr>_Toc480268879</vt:lpwstr>
      </vt:variant>
      <vt:variant>
        <vt:i4>1179706</vt:i4>
      </vt:variant>
      <vt:variant>
        <vt:i4>170</vt:i4>
      </vt:variant>
      <vt:variant>
        <vt:i4>0</vt:i4>
      </vt:variant>
      <vt:variant>
        <vt:i4>5</vt:i4>
      </vt:variant>
      <vt:variant>
        <vt:lpwstr/>
      </vt:variant>
      <vt:variant>
        <vt:lpwstr>_Toc480268878</vt:lpwstr>
      </vt:variant>
      <vt:variant>
        <vt:i4>1179706</vt:i4>
      </vt:variant>
      <vt:variant>
        <vt:i4>164</vt:i4>
      </vt:variant>
      <vt:variant>
        <vt:i4>0</vt:i4>
      </vt:variant>
      <vt:variant>
        <vt:i4>5</vt:i4>
      </vt:variant>
      <vt:variant>
        <vt:lpwstr/>
      </vt:variant>
      <vt:variant>
        <vt:lpwstr>_Toc480268877</vt:lpwstr>
      </vt:variant>
      <vt:variant>
        <vt:i4>1179706</vt:i4>
      </vt:variant>
      <vt:variant>
        <vt:i4>158</vt:i4>
      </vt:variant>
      <vt:variant>
        <vt:i4>0</vt:i4>
      </vt:variant>
      <vt:variant>
        <vt:i4>5</vt:i4>
      </vt:variant>
      <vt:variant>
        <vt:lpwstr/>
      </vt:variant>
      <vt:variant>
        <vt:lpwstr>_Toc480268876</vt:lpwstr>
      </vt:variant>
      <vt:variant>
        <vt:i4>1179706</vt:i4>
      </vt:variant>
      <vt:variant>
        <vt:i4>152</vt:i4>
      </vt:variant>
      <vt:variant>
        <vt:i4>0</vt:i4>
      </vt:variant>
      <vt:variant>
        <vt:i4>5</vt:i4>
      </vt:variant>
      <vt:variant>
        <vt:lpwstr/>
      </vt:variant>
      <vt:variant>
        <vt:lpwstr>_Toc480268875</vt:lpwstr>
      </vt:variant>
      <vt:variant>
        <vt:i4>1179706</vt:i4>
      </vt:variant>
      <vt:variant>
        <vt:i4>146</vt:i4>
      </vt:variant>
      <vt:variant>
        <vt:i4>0</vt:i4>
      </vt:variant>
      <vt:variant>
        <vt:i4>5</vt:i4>
      </vt:variant>
      <vt:variant>
        <vt:lpwstr/>
      </vt:variant>
      <vt:variant>
        <vt:lpwstr>_Toc480268874</vt:lpwstr>
      </vt:variant>
      <vt:variant>
        <vt:i4>1179706</vt:i4>
      </vt:variant>
      <vt:variant>
        <vt:i4>140</vt:i4>
      </vt:variant>
      <vt:variant>
        <vt:i4>0</vt:i4>
      </vt:variant>
      <vt:variant>
        <vt:i4>5</vt:i4>
      </vt:variant>
      <vt:variant>
        <vt:lpwstr/>
      </vt:variant>
      <vt:variant>
        <vt:lpwstr>_Toc480268873</vt:lpwstr>
      </vt:variant>
      <vt:variant>
        <vt:i4>1179706</vt:i4>
      </vt:variant>
      <vt:variant>
        <vt:i4>134</vt:i4>
      </vt:variant>
      <vt:variant>
        <vt:i4>0</vt:i4>
      </vt:variant>
      <vt:variant>
        <vt:i4>5</vt:i4>
      </vt:variant>
      <vt:variant>
        <vt:lpwstr/>
      </vt:variant>
      <vt:variant>
        <vt:lpwstr>_Toc480268872</vt:lpwstr>
      </vt:variant>
      <vt:variant>
        <vt:i4>1179706</vt:i4>
      </vt:variant>
      <vt:variant>
        <vt:i4>128</vt:i4>
      </vt:variant>
      <vt:variant>
        <vt:i4>0</vt:i4>
      </vt:variant>
      <vt:variant>
        <vt:i4>5</vt:i4>
      </vt:variant>
      <vt:variant>
        <vt:lpwstr/>
      </vt:variant>
      <vt:variant>
        <vt:lpwstr>_Toc480268871</vt:lpwstr>
      </vt:variant>
      <vt:variant>
        <vt:i4>1179706</vt:i4>
      </vt:variant>
      <vt:variant>
        <vt:i4>122</vt:i4>
      </vt:variant>
      <vt:variant>
        <vt:i4>0</vt:i4>
      </vt:variant>
      <vt:variant>
        <vt:i4>5</vt:i4>
      </vt:variant>
      <vt:variant>
        <vt:lpwstr/>
      </vt:variant>
      <vt:variant>
        <vt:lpwstr>_Toc480268870</vt:lpwstr>
      </vt:variant>
      <vt:variant>
        <vt:i4>1245242</vt:i4>
      </vt:variant>
      <vt:variant>
        <vt:i4>116</vt:i4>
      </vt:variant>
      <vt:variant>
        <vt:i4>0</vt:i4>
      </vt:variant>
      <vt:variant>
        <vt:i4>5</vt:i4>
      </vt:variant>
      <vt:variant>
        <vt:lpwstr/>
      </vt:variant>
      <vt:variant>
        <vt:lpwstr>_Toc480268869</vt:lpwstr>
      </vt:variant>
      <vt:variant>
        <vt:i4>1245242</vt:i4>
      </vt:variant>
      <vt:variant>
        <vt:i4>110</vt:i4>
      </vt:variant>
      <vt:variant>
        <vt:i4>0</vt:i4>
      </vt:variant>
      <vt:variant>
        <vt:i4>5</vt:i4>
      </vt:variant>
      <vt:variant>
        <vt:lpwstr/>
      </vt:variant>
      <vt:variant>
        <vt:lpwstr>_Toc480268868</vt:lpwstr>
      </vt:variant>
      <vt:variant>
        <vt:i4>1245242</vt:i4>
      </vt:variant>
      <vt:variant>
        <vt:i4>104</vt:i4>
      </vt:variant>
      <vt:variant>
        <vt:i4>0</vt:i4>
      </vt:variant>
      <vt:variant>
        <vt:i4>5</vt:i4>
      </vt:variant>
      <vt:variant>
        <vt:lpwstr/>
      </vt:variant>
      <vt:variant>
        <vt:lpwstr>_Toc480268867</vt:lpwstr>
      </vt:variant>
      <vt:variant>
        <vt:i4>1245242</vt:i4>
      </vt:variant>
      <vt:variant>
        <vt:i4>98</vt:i4>
      </vt:variant>
      <vt:variant>
        <vt:i4>0</vt:i4>
      </vt:variant>
      <vt:variant>
        <vt:i4>5</vt:i4>
      </vt:variant>
      <vt:variant>
        <vt:lpwstr/>
      </vt:variant>
      <vt:variant>
        <vt:lpwstr>_Toc480268866</vt:lpwstr>
      </vt:variant>
      <vt:variant>
        <vt:i4>1245242</vt:i4>
      </vt:variant>
      <vt:variant>
        <vt:i4>92</vt:i4>
      </vt:variant>
      <vt:variant>
        <vt:i4>0</vt:i4>
      </vt:variant>
      <vt:variant>
        <vt:i4>5</vt:i4>
      </vt:variant>
      <vt:variant>
        <vt:lpwstr/>
      </vt:variant>
      <vt:variant>
        <vt:lpwstr>_Toc480268865</vt:lpwstr>
      </vt:variant>
      <vt:variant>
        <vt:i4>1245242</vt:i4>
      </vt:variant>
      <vt:variant>
        <vt:i4>86</vt:i4>
      </vt:variant>
      <vt:variant>
        <vt:i4>0</vt:i4>
      </vt:variant>
      <vt:variant>
        <vt:i4>5</vt:i4>
      </vt:variant>
      <vt:variant>
        <vt:lpwstr/>
      </vt:variant>
      <vt:variant>
        <vt:lpwstr>_Toc480268864</vt:lpwstr>
      </vt:variant>
      <vt:variant>
        <vt:i4>1245242</vt:i4>
      </vt:variant>
      <vt:variant>
        <vt:i4>80</vt:i4>
      </vt:variant>
      <vt:variant>
        <vt:i4>0</vt:i4>
      </vt:variant>
      <vt:variant>
        <vt:i4>5</vt:i4>
      </vt:variant>
      <vt:variant>
        <vt:lpwstr/>
      </vt:variant>
      <vt:variant>
        <vt:lpwstr>_Toc480268863</vt:lpwstr>
      </vt:variant>
      <vt:variant>
        <vt:i4>1245242</vt:i4>
      </vt:variant>
      <vt:variant>
        <vt:i4>74</vt:i4>
      </vt:variant>
      <vt:variant>
        <vt:i4>0</vt:i4>
      </vt:variant>
      <vt:variant>
        <vt:i4>5</vt:i4>
      </vt:variant>
      <vt:variant>
        <vt:lpwstr/>
      </vt:variant>
      <vt:variant>
        <vt:lpwstr>_Toc480268862</vt:lpwstr>
      </vt:variant>
      <vt:variant>
        <vt:i4>1245242</vt:i4>
      </vt:variant>
      <vt:variant>
        <vt:i4>68</vt:i4>
      </vt:variant>
      <vt:variant>
        <vt:i4>0</vt:i4>
      </vt:variant>
      <vt:variant>
        <vt:i4>5</vt:i4>
      </vt:variant>
      <vt:variant>
        <vt:lpwstr/>
      </vt:variant>
      <vt:variant>
        <vt:lpwstr>_Toc480268861</vt:lpwstr>
      </vt:variant>
      <vt:variant>
        <vt:i4>1245242</vt:i4>
      </vt:variant>
      <vt:variant>
        <vt:i4>62</vt:i4>
      </vt:variant>
      <vt:variant>
        <vt:i4>0</vt:i4>
      </vt:variant>
      <vt:variant>
        <vt:i4>5</vt:i4>
      </vt:variant>
      <vt:variant>
        <vt:lpwstr/>
      </vt:variant>
      <vt:variant>
        <vt:lpwstr>_Toc480268860</vt:lpwstr>
      </vt:variant>
      <vt:variant>
        <vt:i4>1048634</vt:i4>
      </vt:variant>
      <vt:variant>
        <vt:i4>56</vt:i4>
      </vt:variant>
      <vt:variant>
        <vt:i4>0</vt:i4>
      </vt:variant>
      <vt:variant>
        <vt:i4>5</vt:i4>
      </vt:variant>
      <vt:variant>
        <vt:lpwstr/>
      </vt:variant>
      <vt:variant>
        <vt:lpwstr>_Toc480268859</vt:lpwstr>
      </vt:variant>
      <vt:variant>
        <vt:i4>1048634</vt:i4>
      </vt:variant>
      <vt:variant>
        <vt:i4>50</vt:i4>
      </vt:variant>
      <vt:variant>
        <vt:i4>0</vt:i4>
      </vt:variant>
      <vt:variant>
        <vt:i4>5</vt:i4>
      </vt:variant>
      <vt:variant>
        <vt:lpwstr/>
      </vt:variant>
      <vt:variant>
        <vt:lpwstr>_Toc480268858</vt:lpwstr>
      </vt:variant>
      <vt:variant>
        <vt:i4>1048634</vt:i4>
      </vt:variant>
      <vt:variant>
        <vt:i4>44</vt:i4>
      </vt:variant>
      <vt:variant>
        <vt:i4>0</vt:i4>
      </vt:variant>
      <vt:variant>
        <vt:i4>5</vt:i4>
      </vt:variant>
      <vt:variant>
        <vt:lpwstr/>
      </vt:variant>
      <vt:variant>
        <vt:lpwstr>_Toc480268857</vt:lpwstr>
      </vt:variant>
      <vt:variant>
        <vt:i4>1048634</vt:i4>
      </vt:variant>
      <vt:variant>
        <vt:i4>38</vt:i4>
      </vt:variant>
      <vt:variant>
        <vt:i4>0</vt:i4>
      </vt:variant>
      <vt:variant>
        <vt:i4>5</vt:i4>
      </vt:variant>
      <vt:variant>
        <vt:lpwstr/>
      </vt:variant>
      <vt:variant>
        <vt:lpwstr>_Toc480268856</vt:lpwstr>
      </vt:variant>
      <vt:variant>
        <vt:i4>1048634</vt:i4>
      </vt:variant>
      <vt:variant>
        <vt:i4>32</vt:i4>
      </vt:variant>
      <vt:variant>
        <vt:i4>0</vt:i4>
      </vt:variant>
      <vt:variant>
        <vt:i4>5</vt:i4>
      </vt:variant>
      <vt:variant>
        <vt:lpwstr/>
      </vt:variant>
      <vt:variant>
        <vt:lpwstr>_Toc480268855</vt:lpwstr>
      </vt:variant>
      <vt:variant>
        <vt:i4>1048634</vt:i4>
      </vt:variant>
      <vt:variant>
        <vt:i4>26</vt:i4>
      </vt:variant>
      <vt:variant>
        <vt:i4>0</vt:i4>
      </vt:variant>
      <vt:variant>
        <vt:i4>5</vt:i4>
      </vt:variant>
      <vt:variant>
        <vt:lpwstr/>
      </vt:variant>
      <vt:variant>
        <vt:lpwstr>_Toc480268854</vt:lpwstr>
      </vt:variant>
      <vt:variant>
        <vt:i4>1048634</vt:i4>
      </vt:variant>
      <vt:variant>
        <vt:i4>20</vt:i4>
      </vt:variant>
      <vt:variant>
        <vt:i4>0</vt:i4>
      </vt:variant>
      <vt:variant>
        <vt:i4>5</vt:i4>
      </vt:variant>
      <vt:variant>
        <vt:lpwstr/>
      </vt:variant>
      <vt:variant>
        <vt:lpwstr>_Toc480268853</vt:lpwstr>
      </vt:variant>
      <vt:variant>
        <vt:i4>1048634</vt:i4>
      </vt:variant>
      <vt:variant>
        <vt:i4>14</vt:i4>
      </vt:variant>
      <vt:variant>
        <vt:i4>0</vt:i4>
      </vt:variant>
      <vt:variant>
        <vt:i4>5</vt:i4>
      </vt:variant>
      <vt:variant>
        <vt:lpwstr/>
      </vt:variant>
      <vt:variant>
        <vt:lpwstr>_Toc480268852</vt:lpwstr>
      </vt:variant>
      <vt:variant>
        <vt:i4>1048634</vt:i4>
      </vt:variant>
      <vt:variant>
        <vt:i4>8</vt:i4>
      </vt:variant>
      <vt:variant>
        <vt:i4>0</vt:i4>
      </vt:variant>
      <vt:variant>
        <vt:i4>5</vt:i4>
      </vt:variant>
      <vt:variant>
        <vt:lpwstr/>
      </vt:variant>
      <vt:variant>
        <vt:lpwstr>_Toc480268851</vt:lpwstr>
      </vt:variant>
      <vt:variant>
        <vt:i4>1048634</vt:i4>
      </vt:variant>
      <vt:variant>
        <vt:i4>2</vt:i4>
      </vt:variant>
      <vt:variant>
        <vt:i4>0</vt:i4>
      </vt:variant>
      <vt:variant>
        <vt:i4>5</vt:i4>
      </vt:variant>
      <vt:variant>
        <vt:lpwstr/>
      </vt:variant>
      <vt:variant>
        <vt:lpwstr>_Toc480268850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dbevandic</dc:creator>
  <cp:lastModifiedBy>Kristijan Herak</cp:lastModifiedBy>
  <cp:revision>204</cp:revision>
  <cp:lastPrinted>2020-03-29T12:11:00Z</cp:lastPrinted>
  <dcterms:created xsi:type="dcterms:W3CDTF">2020-03-19T16:38:00Z</dcterms:created>
  <dcterms:modified xsi:type="dcterms:W3CDTF">2020-03-29T12:12:00Z</dcterms:modified>
</cp:coreProperties>
</file>